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C64F" w14:textId="77777777" w:rsidR="00D2292E" w:rsidRPr="00D2292E" w:rsidRDefault="00D2292E" w:rsidP="00D2292E">
      <w:pPr>
        <w:ind w:right="360"/>
        <w:jc w:val="center"/>
        <w:rPr>
          <w:rFonts w:ascii="Arial" w:hAnsi="Arial"/>
          <w:b/>
          <w:sz w:val="28"/>
          <w:szCs w:val="28"/>
        </w:rPr>
      </w:pPr>
      <w:r>
        <w:rPr>
          <w:rFonts w:ascii="Arial" w:hAnsi="Arial"/>
          <w:b/>
          <w:sz w:val="28"/>
          <w:szCs w:val="28"/>
        </w:rPr>
        <w:t>Stoffpreisgleitklausel</w:t>
      </w:r>
    </w:p>
    <w:p w14:paraId="366FA5F5" w14:textId="77777777" w:rsidR="00F27392" w:rsidRPr="00020BC0" w:rsidRDefault="00D2292E" w:rsidP="007F17B9">
      <w:pPr>
        <w:spacing w:before="60"/>
        <w:ind w:right="357"/>
        <w:jc w:val="center"/>
        <w:rPr>
          <w:rFonts w:ascii="Arial" w:hAnsi="Arial"/>
          <w:sz w:val="18"/>
        </w:rPr>
      </w:pPr>
      <w:r w:rsidRPr="00020BC0">
        <w:rPr>
          <w:rFonts w:ascii="Arial" w:hAnsi="Arial"/>
          <w:sz w:val="18"/>
        </w:rPr>
        <w:t>[</w:t>
      </w:r>
      <w:r w:rsidR="00875E47" w:rsidRPr="00020BC0">
        <w:rPr>
          <w:rFonts w:ascii="Arial" w:hAnsi="Arial"/>
          <w:sz w:val="18"/>
        </w:rPr>
        <w:t>Anlage zu</w:t>
      </w:r>
      <w:r w:rsidR="007C4264" w:rsidRPr="00020BC0">
        <w:rPr>
          <w:rFonts w:ascii="Arial" w:hAnsi="Arial"/>
          <w:sz w:val="18"/>
        </w:rPr>
        <w:t>m Angebot</w:t>
      </w:r>
      <w:r w:rsidRPr="00020BC0">
        <w:rPr>
          <w:rFonts w:ascii="Arial" w:hAnsi="Arial"/>
          <w:sz w:val="18"/>
        </w:rPr>
        <w:t>]</w:t>
      </w:r>
    </w:p>
    <w:p w14:paraId="743E7900" w14:textId="77777777" w:rsidR="00D2292E" w:rsidRDefault="00D2292E" w:rsidP="00D2292E">
      <w:pPr>
        <w:ind w:right="360"/>
        <w:rPr>
          <w:rFonts w:ascii="Arial" w:hAnsi="Arial"/>
          <w:sz w:val="18"/>
        </w:rPr>
      </w:pPr>
    </w:p>
    <w:tbl>
      <w:tblPr>
        <w:tblW w:w="9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3322"/>
        <w:gridCol w:w="3979"/>
        <w:gridCol w:w="9"/>
        <w:gridCol w:w="2400"/>
      </w:tblGrid>
      <w:tr w:rsidR="00CE13F3" w14:paraId="0676F281" w14:textId="77777777" w:rsidTr="00CE13F3">
        <w:trPr>
          <w:cantSplit/>
        </w:trPr>
        <w:tc>
          <w:tcPr>
            <w:tcW w:w="3322" w:type="dxa"/>
            <w:vMerge w:val="restart"/>
          </w:tcPr>
          <w:p w14:paraId="1BB4DC67" w14:textId="77777777" w:rsidR="00CE13F3" w:rsidRDefault="00CE13F3" w:rsidP="00CE13F3">
            <w:pPr>
              <w:jc w:val="center"/>
              <w:rPr>
                <w:rFonts w:ascii="Arial" w:hAnsi="Arial"/>
                <w:b/>
                <w:sz w:val="18"/>
              </w:rPr>
            </w:pPr>
          </w:p>
        </w:tc>
        <w:tc>
          <w:tcPr>
            <w:tcW w:w="3979" w:type="dxa"/>
          </w:tcPr>
          <w:p w14:paraId="04782860" w14:textId="77777777" w:rsidR="00CE13F3" w:rsidRPr="00D854BB" w:rsidRDefault="00CE13F3" w:rsidP="00CE13F3">
            <w:pPr>
              <w:spacing w:before="60" w:after="60"/>
              <w:jc w:val="center"/>
              <w:rPr>
                <w:rFonts w:ascii="Arial" w:hAnsi="Arial"/>
                <w:sz w:val="18"/>
              </w:rPr>
            </w:pPr>
            <w:r w:rsidRPr="00D854BB">
              <w:rPr>
                <w:rFonts w:ascii="Arial" w:hAnsi="Arial"/>
                <w:sz w:val="18"/>
              </w:rPr>
              <w:t>Vergabenummer</w:t>
            </w:r>
          </w:p>
        </w:tc>
        <w:tc>
          <w:tcPr>
            <w:tcW w:w="2409" w:type="dxa"/>
            <w:gridSpan w:val="2"/>
          </w:tcPr>
          <w:p w14:paraId="10B18CE5" w14:textId="77777777" w:rsidR="00CE13F3" w:rsidRPr="00D854BB" w:rsidRDefault="00CE13F3" w:rsidP="00CE13F3">
            <w:pPr>
              <w:spacing w:after="60"/>
              <w:jc w:val="center"/>
              <w:rPr>
                <w:rFonts w:ascii="Arial" w:hAnsi="Arial"/>
                <w:sz w:val="18"/>
                <w:szCs w:val="18"/>
                <w:u w:val="dotted"/>
              </w:rPr>
            </w:pPr>
            <w:r w:rsidRPr="00D854BB">
              <w:rPr>
                <w:rFonts w:ascii="Arial" w:hAnsi="Arial"/>
                <w:sz w:val="18"/>
                <w:szCs w:val="18"/>
                <w:u w:val="dotted"/>
              </w:rPr>
              <w:t>Datum</w:t>
            </w:r>
          </w:p>
        </w:tc>
      </w:tr>
      <w:tr w:rsidR="00CE13F3" w14:paraId="582EC120" w14:textId="77777777" w:rsidTr="00CE13F3">
        <w:trPr>
          <w:cantSplit/>
        </w:trPr>
        <w:tc>
          <w:tcPr>
            <w:tcW w:w="3322" w:type="dxa"/>
            <w:vMerge/>
          </w:tcPr>
          <w:p w14:paraId="1C41F304" w14:textId="77777777" w:rsidR="00CE13F3" w:rsidRDefault="00CE13F3" w:rsidP="00CE13F3">
            <w:pPr>
              <w:jc w:val="center"/>
              <w:rPr>
                <w:rFonts w:ascii="Arial" w:hAnsi="Arial"/>
                <w:sz w:val="18"/>
              </w:rPr>
            </w:pPr>
          </w:p>
        </w:tc>
        <w:tc>
          <w:tcPr>
            <w:tcW w:w="3988" w:type="dxa"/>
            <w:gridSpan w:val="2"/>
          </w:tcPr>
          <w:p w14:paraId="2914A41D" w14:textId="77777777" w:rsidR="00CE13F3" w:rsidRDefault="00CE13F3" w:rsidP="00CE13F3">
            <w:pPr>
              <w:jc w:val="center"/>
              <w:rPr>
                <w:rFonts w:ascii="Arial" w:hAnsi="Arial"/>
                <w:sz w:val="18"/>
              </w:rPr>
            </w:pPr>
            <w:r>
              <w:rPr>
                <w:rFonts w:ascii="Arial" w:hAnsi="Arial"/>
                <w:sz w:val="18"/>
              </w:rPr>
              <w:fldChar w:fldCharType="begin">
                <w:ffData>
                  <w:name w:val="Bau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00" w:type="dxa"/>
          </w:tcPr>
          <w:p w14:paraId="17E8C733" w14:textId="77777777" w:rsidR="00CE13F3" w:rsidRDefault="00CE13F3" w:rsidP="00CE13F3">
            <w:pPr>
              <w:jc w:val="center"/>
              <w:rPr>
                <w:rFonts w:ascii="Arial" w:hAnsi="Arial"/>
                <w:sz w:val="18"/>
              </w:rPr>
            </w:pPr>
            <w:r>
              <w:rPr>
                <w:rFonts w:ascii="Arial" w:hAnsi="Arial"/>
                <w:sz w:val="18"/>
              </w:rPr>
              <w:fldChar w:fldCharType="begin">
                <w:ffData>
                  <w:name w:val="Bau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CE13F3" w14:paraId="4E1B8DB4" w14:textId="77777777" w:rsidTr="00CE13F3">
        <w:trPr>
          <w:cantSplit/>
        </w:trPr>
        <w:tc>
          <w:tcPr>
            <w:tcW w:w="9710" w:type="dxa"/>
            <w:gridSpan w:val="4"/>
            <w:tcBorders>
              <w:bottom w:val="single" w:sz="6" w:space="0" w:color="000000"/>
            </w:tcBorders>
          </w:tcPr>
          <w:p w14:paraId="14B3BB0D" w14:textId="77777777" w:rsidR="00CE13F3" w:rsidRDefault="00CE13F3" w:rsidP="00F730CC">
            <w:pPr>
              <w:spacing w:before="60" w:after="60"/>
              <w:rPr>
                <w:rFonts w:ascii="Arial" w:hAnsi="Arial"/>
                <w:sz w:val="18"/>
              </w:rPr>
            </w:pPr>
            <w:r>
              <w:rPr>
                <w:rFonts w:ascii="Arial" w:hAnsi="Arial"/>
                <w:sz w:val="18"/>
              </w:rPr>
              <w:t xml:space="preserve">Baumaßnahme   </w:t>
            </w:r>
            <w:r>
              <w:rPr>
                <w:rFonts w:ascii="Arial" w:hAnsi="Arial"/>
                <w:sz w:val="18"/>
              </w:rPr>
              <w:fldChar w:fldCharType="begin">
                <w:ffData>
                  <w:name w:val="Bau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CE13F3" w14:paraId="432EFBDA" w14:textId="77777777" w:rsidTr="00CE13F3">
        <w:trPr>
          <w:cantSplit/>
        </w:trPr>
        <w:tc>
          <w:tcPr>
            <w:tcW w:w="9710" w:type="dxa"/>
            <w:gridSpan w:val="4"/>
            <w:tcBorders>
              <w:bottom w:val="single" w:sz="4" w:space="0" w:color="auto"/>
            </w:tcBorders>
          </w:tcPr>
          <w:p w14:paraId="12182423" w14:textId="77777777" w:rsidR="00CE13F3" w:rsidRDefault="00CE13F3" w:rsidP="00F730CC">
            <w:pPr>
              <w:spacing w:before="60" w:after="60"/>
              <w:rPr>
                <w:rFonts w:ascii="Arial" w:hAnsi="Arial"/>
                <w:sz w:val="18"/>
              </w:rPr>
            </w:pPr>
            <w:r>
              <w:rPr>
                <w:rFonts w:ascii="Arial" w:hAnsi="Arial"/>
                <w:sz w:val="18"/>
              </w:rPr>
              <w:t xml:space="preserve">Leistung   </w:t>
            </w:r>
            <w:r>
              <w:rPr>
                <w:rFonts w:ascii="Arial" w:hAnsi="Arial"/>
                <w:sz w:val="18"/>
              </w:rPr>
              <w:fldChar w:fldCharType="begin">
                <w:ffData>
                  <w:name w:val="Bau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14:paraId="7C80A951" w14:textId="77777777" w:rsidR="00CE13F3" w:rsidRDefault="00CE13F3" w:rsidP="00CE13F3">
      <w:pPr>
        <w:spacing w:after="60"/>
        <w:ind w:right="-340"/>
        <w:rPr>
          <w:rFonts w:ascii="Arial" w:hAnsi="Arial"/>
          <w:bCs/>
          <w:spacing w:val="-4"/>
          <w:sz w:val="18"/>
        </w:rPr>
      </w:pPr>
    </w:p>
    <w:p w14:paraId="6EEC816F" w14:textId="77777777" w:rsidR="00CE13F3" w:rsidRPr="00F730CC" w:rsidRDefault="00CE13F3" w:rsidP="00CE13F3">
      <w:pPr>
        <w:spacing w:after="60"/>
        <w:ind w:right="-340"/>
        <w:rPr>
          <w:rFonts w:ascii="Arial" w:hAnsi="Arial"/>
          <w:b/>
          <w:bCs/>
          <w:spacing w:val="-4"/>
          <w:sz w:val="22"/>
          <w:szCs w:val="22"/>
        </w:rPr>
      </w:pPr>
      <w:r w:rsidRPr="00F730CC">
        <w:rPr>
          <w:rFonts w:ascii="Arial" w:hAnsi="Arial"/>
          <w:b/>
          <w:bCs/>
          <w:spacing w:val="-4"/>
          <w:sz w:val="22"/>
          <w:szCs w:val="22"/>
        </w:rPr>
        <w:t>Verzeichnis für Stoffpreisgleitklausel</w:t>
      </w:r>
    </w:p>
    <w:tbl>
      <w:tblPr>
        <w:tblW w:w="9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9710"/>
      </w:tblGrid>
      <w:tr w:rsidR="00CE13F3" w14:paraId="4924DABA" w14:textId="77777777" w:rsidTr="00CE13F3">
        <w:trPr>
          <w:cantSplit/>
        </w:trPr>
        <w:tc>
          <w:tcPr>
            <w:tcW w:w="9710" w:type="dxa"/>
          </w:tcPr>
          <w:p w14:paraId="022E66A8" w14:textId="77777777" w:rsidR="00CE13F3" w:rsidRPr="00020BC0" w:rsidRDefault="00CE13F3" w:rsidP="007F17B9">
            <w:pPr>
              <w:spacing w:before="60"/>
              <w:jc w:val="both"/>
              <w:rPr>
                <w:rFonts w:ascii="Arial" w:hAnsi="Arial"/>
                <w:sz w:val="18"/>
                <w:szCs w:val="18"/>
              </w:rPr>
            </w:pPr>
            <w:r w:rsidRPr="00020BC0">
              <w:rPr>
                <w:rFonts w:ascii="Arial" w:hAnsi="Arial"/>
                <w:sz w:val="18"/>
                <w:szCs w:val="18"/>
              </w:rPr>
              <w:t>Für nachstehend</w:t>
            </w:r>
            <w:r w:rsidR="00F730CC" w:rsidRPr="00020BC0">
              <w:rPr>
                <w:rFonts w:ascii="Arial" w:hAnsi="Arial"/>
                <w:sz w:val="18"/>
                <w:szCs w:val="18"/>
              </w:rPr>
              <w:t>e</w:t>
            </w:r>
            <w:r w:rsidRPr="00020BC0">
              <w:rPr>
                <w:rFonts w:ascii="Arial" w:hAnsi="Arial"/>
                <w:sz w:val="18"/>
                <w:szCs w:val="18"/>
              </w:rPr>
              <w:t xml:space="preserve"> Stoffe, </w:t>
            </w:r>
            <w:r w:rsidR="00F730CC" w:rsidRPr="00020BC0">
              <w:rPr>
                <w:rFonts w:ascii="Arial" w:hAnsi="Arial"/>
                <w:sz w:val="18"/>
                <w:szCs w:val="18"/>
              </w:rPr>
              <w:t>die für die Teilleistungen (OZ) in Spalte 2 verwendet werden</w:t>
            </w:r>
            <w:r w:rsidRPr="00020BC0">
              <w:rPr>
                <w:rFonts w:ascii="Arial" w:hAnsi="Arial"/>
                <w:sz w:val="18"/>
                <w:szCs w:val="18"/>
              </w:rPr>
              <w:t>,</w:t>
            </w:r>
            <w:r w:rsidRPr="002D122D">
              <w:rPr>
                <w:rFonts w:ascii="Arial" w:hAnsi="Arial"/>
                <w:sz w:val="18"/>
                <w:szCs w:val="18"/>
              </w:rPr>
              <w:t xml:space="preserve"> werden die Mehr</w:t>
            </w:r>
            <w:r w:rsidR="007F17B9">
              <w:rPr>
                <w:rFonts w:ascii="Arial" w:hAnsi="Arial"/>
                <w:sz w:val="18"/>
                <w:szCs w:val="18"/>
              </w:rPr>
              <w:t xml:space="preserve">- und Minderaufwendungen </w:t>
            </w:r>
            <w:r w:rsidR="007F17B9" w:rsidRPr="002D122D">
              <w:rPr>
                <w:rFonts w:ascii="Arial" w:hAnsi="Arial"/>
                <w:sz w:val="18"/>
                <w:szCs w:val="18"/>
              </w:rPr>
              <w:t xml:space="preserve">bei </w:t>
            </w:r>
            <w:r w:rsidR="007F17B9">
              <w:rPr>
                <w:rFonts w:ascii="Arial" w:hAnsi="Arial"/>
                <w:sz w:val="18"/>
                <w:szCs w:val="18"/>
              </w:rPr>
              <w:t>Preisä</w:t>
            </w:r>
            <w:r w:rsidR="007F17B9" w:rsidRPr="002D122D">
              <w:rPr>
                <w:rFonts w:ascii="Arial" w:hAnsi="Arial"/>
                <w:sz w:val="18"/>
                <w:szCs w:val="18"/>
              </w:rPr>
              <w:t>nderung</w:t>
            </w:r>
            <w:r w:rsidR="007F17B9">
              <w:rPr>
                <w:rFonts w:ascii="Arial" w:hAnsi="Arial"/>
                <w:sz w:val="18"/>
                <w:szCs w:val="18"/>
              </w:rPr>
              <w:t>en</w:t>
            </w:r>
            <w:r w:rsidR="007F17B9" w:rsidRPr="002D122D">
              <w:rPr>
                <w:rFonts w:ascii="Arial" w:hAnsi="Arial"/>
                <w:sz w:val="18"/>
                <w:szCs w:val="18"/>
              </w:rPr>
              <w:t xml:space="preserve"> </w:t>
            </w:r>
            <w:r w:rsidR="007F17B9">
              <w:rPr>
                <w:rFonts w:ascii="Arial" w:hAnsi="Arial"/>
                <w:sz w:val="18"/>
                <w:szCs w:val="18"/>
              </w:rPr>
              <w:t>nach der vereinbarten „</w:t>
            </w:r>
            <w:r w:rsidRPr="002D122D">
              <w:rPr>
                <w:rFonts w:ascii="Arial" w:hAnsi="Arial"/>
                <w:sz w:val="18"/>
                <w:szCs w:val="18"/>
              </w:rPr>
              <w:t>Stoffpreisgleitklausel“ erstattet.</w:t>
            </w:r>
          </w:p>
        </w:tc>
      </w:tr>
    </w:tbl>
    <w:p w14:paraId="25E7E50B" w14:textId="77777777" w:rsidR="00CE13F3" w:rsidRPr="00020BC0" w:rsidRDefault="00CE13F3" w:rsidP="00CE13F3">
      <w:pPr>
        <w:spacing w:after="60"/>
        <w:ind w:right="-340"/>
        <w:rPr>
          <w:rFonts w:ascii="Arial" w:hAnsi="Arial"/>
          <w:bCs/>
          <w:spacing w:val="-4"/>
          <w:sz w:val="2"/>
          <w:szCs w:val="2"/>
        </w:rPr>
      </w:pPr>
    </w:p>
    <w:tbl>
      <w:tblPr>
        <w:tblW w:w="49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2318"/>
        <w:gridCol w:w="1519"/>
        <w:gridCol w:w="1951"/>
        <w:gridCol w:w="1955"/>
        <w:gridCol w:w="1811"/>
      </w:tblGrid>
      <w:tr w:rsidR="00CE13F3" w14:paraId="03AA8F35" w14:textId="77777777" w:rsidTr="00020BC0">
        <w:trPr>
          <w:cantSplit/>
        </w:trPr>
        <w:tc>
          <w:tcPr>
            <w:tcW w:w="1213" w:type="pct"/>
            <w:vAlign w:val="center"/>
          </w:tcPr>
          <w:p w14:paraId="4C4AAED0" w14:textId="77777777" w:rsidR="00CE13F3" w:rsidRDefault="00CE13F3" w:rsidP="00CE13F3">
            <w:pPr>
              <w:spacing w:before="60" w:after="60"/>
              <w:jc w:val="center"/>
              <w:rPr>
                <w:rFonts w:ascii="Arial" w:hAnsi="Arial"/>
                <w:b/>
                <w:sz w:val="18"/>
              </w:rPr>
            </w:pPr>
            <w:r>
              <w:rPr>
                <w:rFonts w:ascii="Arial" w:hAnsi="Arial"/>
                <w:b/>
                <w:sz w:val="18"/>
              </w:rPr>
              <w:t>Stoffe</w:t>
            </w:r>
          </w:p>
        </w:tc>
        <w:tc>
          <w:tcPr>
            <w:tcW w:w="795" w:type="pct"/>
            <w:vAlign w:val="center"/>
          </w:tcPr>
          <w:p w14:paraId="682136E7" w14:textId="77777777" w:rsidR="00CE13F3" w:rsidRDefault="00CE13F3" w:rsidP="00CE13F3">
            <w:pPr>
              <w:spacing w:before="60" w:after="60"/>
              <w:jc w:val="center"/>
              <w:rPr>
                <w:rFonts w:ascii="Arial" w:hAnsi="Arial"/>
                <w:b/>
                <w:sz w:val="18"/>
              </w:rPr>
            </w:pPr>
            <w:r>
              <w:rPr>
                <w:rFonts w:ascii="Arial" w:hAnsi="Arial"/>
                <w:b/>
                <w:sz w:val="18"/>
              </w:rPr>
              <w:t>Verwendung</w:t>
            </w:r>
          </w:p>
          <w:p w14:paraId="5D4437D9" w14:textId="77777777" w:rsidR="00CE13F3" w:rsidRDefault="00CE13F3" w:rsidP="00CE13F3">
            <w:pPr>
              <w:spacing w:before="60" w:after="60"/>
              <w:jc w:val="center"/>
              <w:rPr>
                <w:rFonts w:ascii="Arial" w:hAnsi="Arial"/>
                <w:b/>
                <w:sz w:val="18"/>
              </w:rPr>
            </w:pPr>
            <w:r>
              <w:rPr>
                <w:rFonts w:ascii="Arial" w:hAnsi="Arial"/>
                <w:b/>
                <w:sz w:val="18"/>
              </w:rPr>
              <w:t>bei OZ</w:t>
            </w:r>
          </w:p>
        </w:tc>
        <w:tc>
          <w:tcPr>
            <w:tcW w:w="1021" w:type="pct"/>
            <w:vAlign w:val="center"/>
          </w:tcPr>
          <w:p w14:paraId="1D1F6A4F" w14:textId="77777777" w:rsidR="00CE13F3" w:rsidRDefault="00CE13F3" w:rsidP="00CE13F3">
            <w:pPr>
              <w:spacing w:before="60" w:after="60"/>
              <w:jc w:val="center"/>
              <w:rPr>
                <w:rFonts w:ascii="Arial" w:hAnsi="Arial"/>
                <w:b/>
                <w:sz w:val="18"/>
              </w:rPr>
            </w:pPr>
            <w:r>
              <w:rPr>
                <w:rFonts w:ascii="Arial" w:hAnsi="Arial"/>
                <w:b/>
                <w:sz w:val="18"/>
              </w:rPr>
              <w:t>GP-Nummer</w:t>
            </w:r>
          </w:p>
        </w:tc>
        <w:tc>
          <w:tcPr>
            <w:tcW w:w="1023" w:type="pct"/>
          </w:tcPr>
          <w:p w14:paraId="593E1072" w14:textId="77777777" w:rsidR="00CE13F3" w:rsidRDefault="00CE13F3" w:rsidP="00CE13F3">
            <w:pPr>
              <w:spacing w:before="60" w:after="60"/>
              <w:jc w:val="center"/>
              <w:rPr>
                <w:rFonts w:ascii="Arial" w:hAnsi="Arial"/>
                <w:b/>
                <w:sz w:val="18"/>
              </w:rPr>
            </w:pPr>
            <w:r>
              <w:rPr>
                <w:rFonts w:ascii="Arial" w:hAnsi="Arial"/>
                <w:b/>
                <w:sz w:val="18"/>
              </w:rPr>
              <w:t>Basiswert 1</w:t>
            </w:r>
          </w:p>
          <w:p w14:paraId="3D09C4A6" w14:textId="77777777" w:rsidR="00CE13F3" w:rsidRDefault="00CE13F3" w:rsidP="00CE13F3">
            <w:pPr>
              <w:spacing w:before="60" w:after="60"/>
              <w:jc w:val="center"/>
              <w:rPr>
                <w:rFonts w:ascii="Arial" w:hAnsi="Arial"/>
                <w:sz w:val="18"/>
              </w:rPr>
            </w:pPr>
            <w:r w:rsidRPr="009A0F73">
              <w:rPr>
                <w:rFonts w:ascii="Arial" w:hAnsi="Arial"/>
                <w:sz w:val="18"/>
              </w:rPr>
              <w:t>[z.B. EUR</w:t>
            </w:r>
            <w:r>
              <w:rPr>
                <w:rFonts w:ascii="Arial" w:hAnsi="Arial"/>
                <w:sz w:val="18"/>
              </w:rPr>
              <w:t xml:space="preserve"> </w:t>
            </w:r>
            <w:r w:rsidRPr="009A0F73">
              <w:rPr>
                <w:rFonts w:ascii="Arial" w:hAnsi="Arial"/>
                <w:sz w:val="18"/>
              </w:rPr>
              <w:t>/</w:t>
            </w:r>
            <w:r>
              <w:rPr>
                <w:rFonts w:ascii="Arial" w:hAnsi="Arial"/>
                <w:sz w:val="18"/>
              </w:rPr>
              <w:t xml:space="preserve"> </w:t>
            </w:r>
            <w:r w:rsidRPr="009A0F73">
              <w:rPr>
                <w:rFonts w:ascii="Arial" w:hAnsi="Arial"/>
                <w:sz w:val="18"/>
              </w:rPr>
              <w:t>t (net</w:t>
            </w:r>
            <w:r>
              <w:rPr>
                <w:rFonts w:ascii="Arial" w:hAnsi="Arial"/>
                <w:sz w:val="18"/>
              </w:rPr>
              <w:t xml:space="preserve">to)] nach Nr. 3.1 zum </w:t>
            </w:r>
            <w:r w:rsidRPr="002D122D">
              <w:rPr>
                <w:rFonts w:ascii="Arial" w:hAnsi="Arial"/>
                <w:b/>
                <w:sz w:val="18"/>
              </w:rPr>
              <w:t>Zeitpunkt:</w:t>
            </w:r>
          </w:p>
          <w:p w14:paraId="3AC9E8F9" w14:textId="77777777" w:rsidR="00CE13F3" w:rsidRPr="009A0F73" w:rsidRDefault="00CE13F3" w:rsidP="00CE13F3">
            <w:pPr>
              <w:spacing w:before="60" w:after="60"/>
              <w:jc w:val="center"/>
              <w:rPr>
                <w:rFonts w:ascii="Arial" w:hAnsi="Arial"/>
                <w:sz w:val="18"/>
              </w:rPr>
            </w:pPr>
          </w:p>
          <w:p w14:paraId="6EFB7C09" w14:textId="77777777" w:rsidR="00CE13F3" w:rsidRPr="009A0F73" w:rsidRDefault="00CE13F3" w:rsidP="00CE13F3">
            <w:pPr>
              <w:spacing w:before="60" w:after="60"/>
              <w:jc w:val="center"/>
              <w:rPr>
                <w:rFonts w:ascii="Arial" w:hAnsi="Arial"/>
                <w:sz w:val="18"/>
                <w:u w:val="single"/>
              </w:rPr>
            </w:pPr>
            <w:r>
              <w:rPr>
                <w:rFonts w:ascii="Arial" w:hAnsi="Arial"/>
                <w:b/>
                <w:sz w:val="18"/>
                <w:szCs w:val="18"/>
                <w:u w:val="single"/>
              </w:rPr>
              <w:fldChar w:fldCharType="begin">
                <w:ffData>
                  <w:name w:val="Zeitpunkt"/>
                  <w:enabled/>
                  <w:calcOnExit w:val="0"/>
                  <w:textInput>
                    <w:maxLength w:val="10"/>
                  </w:textInput>
                </w:ffData>
              </w:fldChar>
            </w:r>
            <w:r>
              <w:rPr>
                <w:rFonts w:ascii="Arial" w:hAnsi="Arial"/>
                <w:b/>
                <w:sz w:val="18"/>
                <w:szCs w:val="18"/>
                <w:u w:val="single"/>
              </w:rPr>
              <w:instrText xml:space="preserve"> FORMTEXT </w:instrText>
            </w:r>
            <w:r>
              <w:rPr>
                <w:rFonts w:ascii="Arial" w:hAnsi="Arial"/>
                <w:b/>
                <w:sz w:val="18"/>
                <w:szCs w:val="18"/>
                <w:u w:val="single"/>
              </w:rPr>
            </w:r>
            <w:r>
              <w:rPr>
                <w:rFonts w:ascii="Arial" w:hAnsi="Arial"/>
                <w:b/>
                <w:sz w:val="18"/>
                <w:szCs w:val="18"/>
                <w:u w:val="single"/>
              </w:rPr>
              <w:fldChar w:fldCharType="separate"/>
            </w:r>
            <w:r>
              <w:rPr>
                <w:rFonts w:ascii="Arial" w:hAnsi="Arial"/>
                <w:b/>
                <w:noProof/>
                <w:sz w:val="18"/>
                <w:szCs w:val="18"/>
                <w:u w:val="single"/>
              </w:rPr>
              <w:t> </w:t>
            </w:r>
            <w:r>
              <w:rPr>
                <w:rFonts w:ascii="Arial" w:hAnsi="Arial"/>
                <w:b/>
                <w:noProof/>
                <w:sz w:val="18"/>
                <w:szCs w:val="18"/>
                <w:u w:val="single"/>
              </w:rPr>
              <w:t> </w:t>
            </w:r>
            <w:r>
              <w:rPr>
                <w:rFonts w:ascii="Arial" w:hAnsi="Arial"/>
                <w:b/>
                <w:noProof/>
                <w:sz w:val="18"/>
                <w:szCs w:val="18"/>
                <w:u w:val="single"/>
              </w:rPr>
              <w:t> </w:t>
            </w:r>
            <w:r>
              <w:rPr>
                <w:rFonts w:ascii="Arial" w:hAnsi="Arial"/>
                <w:b/>
                <w:noProof/>
                <w:sz w:val="18"/>
                <w:szCs w:val="18"/>
                <w:u w:val="single"/>
              </w:rPr>
              <w:t> </w:t>
            </w:r>
            <w:r>
              <w:rPr>
                <w:rFonts w:ascii="Arial" w:hAnsi="Arial"/>
                <w:b/>
                <w:noProof/>
                <w:sz w:val="18"/>
                <w:szCs w:val="18"/>
                <w:u w:val="single"/>
              </w:rPr>
              <w:t> </w:t>
            </w:r>
            <w:r>
              <w:rPr>
                <w:rFonts w:ascii="Arial" w:hAnsi="Arial"/>
                <w:b/>
                <w:sz w:val="18"/>
                <w:szCs w:val="18"/>
                <w:u w:val="single"/>
              </w:rPr>
              <w:fldChar w:fldCharType="end"/>
            </w:r>
          </w:p>
          <w:p w14:paraId="40D24E78" w14:textId="77777777" w:rsidR="00CE13F3" w:rsidRPr="009A0F73" w:rsidRDefault="00CE13F3" w:rsidP="00CE13F3">
            <w:pPr>
              <w:spacing w:before="60" w:after="60"/>
              <w:jc w:val="center"/>
              <w:rPr>
                <w:rFonts w:ascii="Arial" w:hAnsi="Arial"/>
                <w:sz w:val="18"/>
              </w:rPr>
            </w:pPr>
            <w:r w:rsidRPr="009A0F73">
              <w:rPr>
                <w:rFonts w:ascii="Arial" w:hAnsi="Arial"/>
                <w:sz w:val="18"/>
              </w:rPr>
              <w:t>[MM/JJJJ]</w:t>
            </w:r>
          </w:p>
        </w:tc>
        <w:tc>
          <w:tcPr>
            <w:tcW w:w="948" w:type="pct"/>
            <w:vAlign w:val="center"/>
          </w:tcPr>
          <w:p w14:paraId="5F192C55" w14:textId="77777777" w:rsidR="00CE13F3" w:rsidRPr="008C28AF" w:rsidRDefault="00CE13F3" w:rsidP="00CE13F3">
            <w:pPr>
              <w:spacing w:after="60"/>
              <w:jc w:val="center"/>
              <w:rPr>
                <w:rFonts w:ascii="Arial" w:hAnsi="Arial"/>
                <w:b/>
                <w:sz w:val="18"/>
                <w:szCs w:val="18"/>
              </w:rPr>
            </w:pPr>
            <w:r w:rsidRPr="008C28AF">
              <w:rPr>
                <w:rFonts w:ascii="Arial" w:hAnsi="Arial"/>
                <w:b/>
                <w:sz w:val="18"/>
                <w:szCs w:val="18"/>
              </w:rPr>
              <w:t>Abrechnungs-</w:t>
            </w:r>
            <w:proofErr w:type="spellStart"/>
            <w:r w:rsidRPr="008C28AF">
              <w:rPr>
                <w:rFonts w:ascii="Arial" w:hAnsi="Arial"/>
                <w:b/>
                <w:sz w:val="18"/>
                <w:szCs w:val="18"/>
              </w:rPr>
              <w:t>zeitpunkt</w:t>
            </w:r>
            <w:proofErr w:type="spellEnd"/>
            <w:r w:rsidRPr="008C28AF">
              <w:rPr>
                <w:rFonts w:ascii="Arial" w:hAnsi="Arial"/>
                <w:b/>
                <w:sz w:val="18"/>
                <w:szCs w:val="18"/>
              </w:rPr>
              <w:t>,</w:t>
            </w:r>
          </w:p>
          <w:p w14:paraId="63C69171" w14:textId="77777777" w:rsidR="00CE13F3" w:rsidRPr="008C28AF" w:rsidRDefault="00CE13F3" w:rsidP="00CE13F3">
            <w:pPr>
              <w:spacing w:after="60"/>
              <w:jc w:val="center"/>
              <w:rPr>
                <w:rFonts w:ascii="Arial" w:hAnsi="Arial"/>
                <w:b/>
                <w:sz w:val="18"/>
                <w:szCs w:val="18"/>
              </w:rPr>
            </w:pPr>
            <w:r w:rsidRPr="008C28AF">
              <w:rPr>
                <w:rFonts w:ascii="Arial" w:hAnsi="Arial"/>
                <w:b/>
                <w:sz w:val="18"/>
                <w:szCs w:val="18"/>
              </w:rPr>
              <w:t xml:space="preserve">Abrechnungs-einheit (z.B. Verbrauch in </w:t>
            </w:r>
            <w:proofErr w:type="spellStart"/>
            <w:r w:rsidRPr="008C28AF">
              <w:rPr>
                <w:rFonts w:ascii="Arial" w:hAnsi="Arial"/>
                <w:b/>
                <w:sz w:val="18"/>
                <w:szCs w:val="18"/>
              </w:rPr>
              <w:t>ltr</w:t>
            </w:r>
            <w:proofErr w:type="spellEnd"/>
            <w:r w:rsidRPr="008C28AF">
              <w:rPr>
                <w:rFonts w:ascii="Arial" w:hAnsi="Arial"/>
                <w:b/>
                <w:sz w:val="18"/>
                <w:szCs w:val="18"/>
              </w:rPr>
              <w:t>/m³),</w:t>
            </w:r>
          </w:p>
          <w:p w14:paraId="53C690B7" w14:textId="77777777" w:rsidR="00CE13F3" w:rsidRDefault="00CE13F3" w:rsidP="00CE13F3">
            <w:pPr>
              <w:spacing w:after="60"/>
              <w:jc w:val="center"/>
              <w:rPr>
                <w:rFonts w:ascii="Arial" w:hAnsi="Arial"/>
                <w:b/>
                <w:sz w:val="18"/>
                <w:szCs w:val="18"/>
                <w:u w:val="dotted"/>
              </w:rPr>
            </w:pPr>
            <w:r w:rsidRPr="008C28AF">
              <w:rPr>
                <w:rFonts w:ascii="Arial" w:hAnsi="Arial"/>
                <w:b/>
                <w:sz w:val="18"/>
                <w:szCs w:val="18"/>
              </w:rPr>
              <w:t>Sonstiges</w:t>
            </w:r>
          </w:p>
        </w:tc>
      </w:tr>
      <w:tr w:rsidR="00CE13F3" w14:paraId="53CB7178" w14:textId="77777777" w:rsidTr="00020BC0">
        <w:trPr>
          <w:cantSplit/>
        </w:trPr>
        <w:tc>
          <w:tcPr>
            <w:tcW w:w="1213" w:type="pct"/>
            <w:tcBorders>
              <w:bottom w:val="nil"/>
            </w:tcBorders>
          </w:tcPr>
          <w:p w14:paraId="414485BF" w14:textId="77777777" w:rsidR="00CE13F3" w:rsidRDefault="00CE13F3" w:rsidP="00CE13F3">
            <w:pPr>
              <w:jc w:val="center"/>
              <w:rPr>
                <w:rFonts w:ascii="Arial" w:hAnsi="Arial"/>
                <w:sz w:val="18"/>
              </w:rPr>
            </w:pPr>
            <w:r>
              <w:rPr>
                <w:rFonts w:ascii="Arial" w:hAnsi="Arial"/>
                <w:sz w:val="18"/>
              </w:rPr>
              <w:t>1</w:t>
            </w:r>
          </w:p>
        </w:tc>
        <w:tc>
          <w:tcPr>
            <w:tcW w:w="795" w:type="pct"/>
          </w:tcPr>
          <w:p w14:paraId="7CCBD1A4" w14:textId="77777777" w:rsidR="00CE13F3" w:rsidRDefault="00CE13F3" w:rsidP="00CE13F3">
            <w:pPr>
              <w:jc w:val="center"/>
              <w:rPr>
                <w:rFonts w:ascii="Arial" w:hAnsi="Arial"/>
                <w:sz w:val="18"/>
              </w:rPr>
            </w:pPr>
            <w:r>
              <w:rPr>
                <w:rFonts w:ascii="Arial" w:hAnsi="Arial"/>
                <w:sz w:val="18"/>
              </w:rPr>
              <w:t>2</w:t>
            </w:r>
          </w:p>
        </w:tc>
        <w:tc>
          <w:tcPr>
            <w:tcW w:w="1021" w:type="pct"/>
          </w:tcPr>
          <w:p w14:paraId="323677F1" w14:textId="77777777" w:rsidR="00CE13F3" w:rsidRDefault="00CE13F3" w:rsidP="00CE13F3">
            <w:pPr>
              <w:jc w:val="center"/>
              <w:rPr>
                <w:rFonts w:ascii="Arial" w:hAnsi="Arial"/>
                <w:sz w:val="18"/>
              </w:rPr>
            </w:pPr>
            <w:r>
              <w:rPr>
                <w:rFonts w:ascii="Arial" w:hAnsi="Arial"/>
                <w:sz w:val="18"/>
              </w:rPr>
              <w:t>3</w:t>
            </w:r>
          </w:p>
        </w:tc>
        <w:tc>
          <w:tcPr>
            <w:tcW w:w="1023" w:type="pct"/>
          </w:tcPr>
          <w:p w14:paraId="6EA419A9" w14:textId="77777777" w:rsidR="00CE13F3" w:rsidRDefault="00CE13F3" w:rsidP="00CE13F3">
            <w:pPr>
              <w:jc w:val="center"/>
              <w:rPr>
                <w:rFonts w:ascii="Arial" w:hAnsi="Arial"/>
                <w:sz w:val="18"/>
              </w:rPr>
            </w:pPr>
            <w:r>
              <w:rPr>
                <w:rFonts w:ascii="Arial" w:hAnsi="Arial"/>
                <w:sz w:val="18"/>
              </w:rPr>
              <w:t>4</w:t>
            </w:r>
          </w:p>
        </w:tc>
        <w:tc>
          <w:tcPr>
            <w:tcW w:w="948" w:type="pct"/>
          </w:tcPr>
          <w:p w14:paraId="287962AE" w14:textId="77777777" w:rsidR="00CE13F3" w:rsidRDefault="00CE13F3" w:rsidP="00CE13F3">
            <w:pPr>
              <w:jc w:val="center"/>
              <w:rPr>
                <w:rFonts w:ascii="Arial" w:hAnsi="Arial"/>
                <w:sz w:val="18"/>
              </w:rPr>
            </w:pPr>
            <w:r>
              <w:rPr>
                <w:rFonts w:ascii="Arial" w:hAnsi="Arial"/>
                <w:sz w:val="18"/>
              </w:rPr>
              <w:t>5</w:t>
            </w:r>
          </w:p>
        </w:tc>
      </w:tr>
      <w:tr w:rsidR="00CE13F3" w:rsidRPr="00CE13F3" w14:paraId="25A0AD44" w14:textId="77777777" w:rsidTr="00020BC0">
        <w:tblPrEx>
          <w:tblCellMar>
            <w:left w:w="70" w:type="dxa"/>
            <w:right w:w="70" w:type="dxa"/>
          </w:tblCellMar>
        </w:tblPrEx>
        <w:tc>
          <w:tcPr>
            <w:tcW w:w="1213" w:type="pct"/>
          </w:tcPr>
          <w:p w14:paraId="3ECCF4A4" w14:textId="77777777" w:rsidR="00CE13F3" w:rsidRPr="00CE13F3" w:rsidRDefault="00CE13F3" w:rsidP="00CE13F3">
            <w:pPr>
              <w:rPr>
                <w:rFonts w:ascii="Arial" w:hAnsi="Arial"/>
                <w:sz w:val="18"/>
              </w:rPr>
            </w:pPr>
            <w:r w:rsidRPr="00CE13F3">
              <w:rPr>
                <w:rFonts w:ascii="Arial" w:hAnsi="Arial"/>
                <w:sz w:val="18"/>
              </w:rPr>
              <w:fldChar w:fldCharType="begin">
                <w:ffData>
                  <w:name w:val="Text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7D20E92" w14:textId="77777777" w:rsidR="00CE13F3" w:rsidRPr="00CE13F3" w:rsidRDefault="00CE13F3" w:rsidP="00CE13F3">
            <w:pPr>
              <w:rPr>
                <w:rFonts w:ascii="Arial" w:hAnsi="Arial"/>
                <w:sz w:val="18"/>
              </w:rPr>
            </w:pPr>
            <w:r w:rsidRPr="00CE13F3">
              <w:rPr>
                <w:rFonts w:ascii="Arial" w:hAnsi="Arial"/>
                <w:sz w:val="18"/>
              </w:rPr>
              <w:fldChar w:fldCharType="begin">
                <w:ffData>
                  <w:name w:val="Text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085CC75" w14:textId="77777777" w:rsidR="00CE13F3" w:rsidRPr="00CE13F3" w:rsidRDefault="00CE13F3" w:rsidP="00CE13F3">
            <w:pPr>
              <w:rPr>
                <w:rFonts w:ascii="Arial" w:hAnsi="Arial"/>
                <w:sz w:val="18"/>
              </w:rPr>
            </w:pPr>
            <w:r w:rsidRPr="00CE13F3">
              <w:rPr>
                <w:rFonts w:ascii="Arial" w:hAnsi="Arial"/>
                <w:sz w:val="18"/>
              </w:rPr>
              <w:fldChar w:fldCharType="begin">
                <w:ffData>
                  <w:name w:val="Text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801810B" w14:textId="77777777" w:rsidR="00CE13F3" w:rsidRPr="00CE13F3" w:rsidRDefault="00CE13F3" w:rsidP="00CE13F3">
            <w:pPr>
              <w:rPr>
                <w:rFonts w:ascii="Arial" w:hAnsi="Arial"/>
                <w:sz w:val="18"/>
              </w:rPr>
            </w:pPr>
            <w:r w:rsidRPr="00CE13F3">
              <w:rPr>
                <w:rFonts w:ascii="Arial" w:hAnsi="Arial"/>
                <w:sz w:val="18"/>
              </w:rPr>
              <w:fldChar w:fldCharType="begin">
                <w:ffData>
                  <w:name w:val="Text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CC042FD" w14:textId="77777777" w:rsidR="00CE13F3" w:rsidRPr="00CE13F3" w:rsidRDefault="00CE13F3" w:rsidP="00CE13F3">
            <w:pPr>
              <w:rPr>
                <w:rFonts w:ascii="Arial" w:hAnsi="Arial"/>
                <w:sz w:val="18"/>
              </w:rPr>
            </w:pPr>
            <w:r w:rsidRPr="00CE13F3">
              <w:rPr>
                <w:rFonts w:ascii="Arial" w:hAnsi="Arial"/>
                <w:sz w:val="18"/>
              </w:rPr>
              <w:fldChar w:fldCharType="begin">
                <w:ffData>
                  <w:name w:val="Text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6D69C08" w14:textId="77777777" w:rsidR="00CE13F3" w:rsidRPr="00CE13F3" w:rsidRDefault="00CE13F3" w:rsidP="00CE13F3">
            <w:pPr>
              <w:rPr>
                <w:rFonts w:ascii="Arial" w:hAnsi="Arial"/>
                <w:sz w:val="18"/>
              </w:rPr>
            </w:pPr>
            <w:r w:rsidRPr="00CE13F3">
              <w:rPr>
                <w:rFonts w:ascii="Arial" w:hAnsi="Arial"/>
                <w:sz w:val="18"/>
              </w:rPr>
              <w:fldChar w:fldCharType="begin">
                <w:ffData>
                  <w:name w:val="Text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22CBA9F" w14:textId="77777777" w:rsidR="00CE13F3" w:rsidRPr="00CE13F3" w:rsidRDefault="00CE13F3" w:rsidP="00CE13F3">
            <w:pPr>
              <w:rPr>
                <w:rFonts w:ascii="Arial" w:hAnsi="Arial"/>
                <w:sz w:val="18"/>
              </w:rPr>
            </w:pPr>
            <w:r w:rsidRPr="00CE13F3">
              <w:rPr>
                <w:rFonts w:ascii="Arial" w:hAnsi="Arial"/>
                <w:sz w:val="18"/>
              </w:rPr>
              <w:fldChar w:fldCharType="begin">
                <w:ffData>
                  <w:name w:val="Text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90025D2" w14:textId="77777777" w:rsidR="00CE13F3" w:rsidRPr="00CE13F3" w:rsidRDefault="00CE13F3" w:rsidP="00CE13F3">
            <w:pPr>
              <w:rPr>
                <w:rFonts w:ascii="Arial" w:hAnsi="Arial"/>
                <w:sz w:val="18"/>
              </w:rPr>
            </w:pPr>
            <w:r w:rsidRPr="00CE13F3">
              <w:rPr>
                <w:rFonts w:ascii="Arial" w:hAnsi="Arial"/>
                <w:sz w:val="18"/>
              </w:rPr>
              <w:fldChar w:fldCharType="begin">
                <w:ffData>
                  <w:name w:val="Text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5B7F51C" w14:textId="77777777" w:rsidR="00CE13F3" w:rsidRPr="00CE13F3" w:rsidRDefault="00CE13F3" w:rsidP="00CE13F3">
            <w:pPr>
              <w:rPr>
                <w:rFonts w:ascii="Arial" w:hAnsi="Arial"/>
                <w:sz w:val="18"/>
              </w:rPr>
            </w:pPr>
            <w:r w:rsidRPr="00CE13F3">
              <w:rPr>
                <w:rFonts w:ascii="Arial" w:hAnsi="Arial"/>
                <w:sz w:val="18"/>
              </w:rPr>
              <w:fldChar w:fldCharType="begin">
                <w:ffData>
                  <w:name w:val="Text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D42E48D" w14:textId="77777777" w:rsidR="00CE13F3" w:rsidRPr="00CE13F3" w:rsidRDefault="00CE13F3" w:rsidP="00CE13F3">
            <w:pPr>
              <w:rPr>
                <w:rFonts w:ascii="Arial" w:hAnsi="Arial"/>
                <w:sz w:val="18"/>
              </w:rPr>
            </w:pPr>
            <w:r w:rsidRPr="00CE13F3">
              <w:rPr>
                <w:rFonts w:ascii="Arial" w:hAnsi="Arial"/>
                <w:sz w:val="18"/>
              </w:rPr>
              <w:fldChar w:fldCharType="begin">
                <w:ffData>
                  <w:name w:val="Text1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A46C39A" w14:textId="77777777" w:rsidR="00CE13F3" w:rsidRPr="00CE13F3" w:rsidRDefault="00CE13F3" w:rsidP="00CE13F3">
            <w:pPr>
              <w:rPr>
                <w:rFonts w:ascii="Arial" w:hAnsi="Arial"/>
                <w:sz w:val="18"/>
              </w:rPr>
            </w:pPr>
            <w:r w:rsidRPr="00CE13F3">
              <w:rPr>
                <w:rFonts w:ascii="Arial" w:hAnsi="Arial"/>
                <w:sz w:val="18"/>
              </w:rPr>
              <w:fldChar w:fldCharType="begin">
                <w:ffData>
                  <w:name w:val="Text1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7CA9E46" w14:textId="77777777" w:rsidR="00CE13F3" w:rsidRPr="00CE13F3" w:rsidRDefault="00CE13F3" w:rsidP="00CE13F3">
            <w:pPr>
              <w:rPr>
                <w:rFonts w:ascii="Arial" w:hAnsi="Arial"/>
                <w:sz w:val="18"/>
              </w:rPr>
            </w:pPr>
            <w:r w:rsidRPr="00CE13F3">
              <w:rPr>
                <w:rFonts w:ascii="Arial" w:hAnsi="Arial"/>
                <w:sz w:val="18"/>
              </w:rPr>
              <w:fldChar w:fldCharType="begin">
                <w:ffData>
                  <w:name w:val="Text1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326A72B" w14:textId="77777777" w:rsidR="00CE13F3" w:rsidRPr="00CE13F3" w:rsidRDefault="00CE13F3" w:rsidP="00CE13F3">
            <w:pPr>
              <w:rPr>
                <w:rFonts w:ascii="Arial" w:hAnsi="Arial"/>
                <w:sz w:val="18"/>
              </w:rPr>
            </w:pPr>
            <w:r w:rsidRPr="00CE13F3">
              <w:rPr>
                <w:rFonts w:ascii="Arial" w:hAnsi="Arial"/>
                <w:sz w:val="18"/>
              </w:rPr>
              <w:fldChar w:fldCharType="begin">
                <w:ffData>
                  <w:name w:val="Text1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CE7D7E4" w14:textId="77777777" w:rsidR="00CE13F3" w:rsidRPr="00CE13F3" w:rsidRDefault="00CE13F3" w:rsidP="00CE13F3">
            <w:pPr>
              <w:rPr>
                <w:rFonts w:ascii="Arial" w:hAnsi="Arial"/>
                <w:sz w:val="18"/>
              </w:rPr>
            </w:pPr>
            <w:r w:rsidRPr="00CE13F3">
              <w:rPr>
                <w:rFonts w:ascii="Arial" w:hAnsi="Arial"/>
                <w:sz w:val="18"/>
              </w:rPr>
              <w:fldChar w:fldCharType="begin">
                <w:ffData>
                  <w:name w:val="Text1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552134F" w14:textId="77777777" w:rsidR="00CE13F3" w:rsidRPr="00CE13F3" w:rsidRDefault="00CE13F3" w:rsidP="00CE13F3">
            <w:pPr>
              <w:rPr>
                <w:rFonts w:ascii="Arial" w:hAnsi="Arial"/>
                <w:sz w:val="18"/>
              </w:rPr>
            </w:pPr>
            <w:r w:rsidRPr="00CE13F3">
              <w:rPr>
                <w:rFonts w:ascii="Arial" w:hAnsi="Arial"/>
                <w:sz w:val="18"/>
              </w:rPr>
              <w:fldChar w:fldCharType="begin">
                <w:ffData>
                  <w:name w:val="Text1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8BB6A22" w14:textId="77777777" w:rsidR="00CE13F3" w:rsidRPr="00CE13F3" w:rsidRDefault="00CE13F3" w:rsidP="00CE13F3">
            <w:pPr>
              <w:rPr>
                <w:rFonts w:ascii="Arial" w:hAnsi="Arial"/>
                <w:sz w:val="18"/>
              </w:rPr>
            </w:pPr>
            <w:r w:rsidRPr="00CE13F3">
              <w:rPr>
                <w:rFonts w:ascii="Arial" w:hAnsi="Arial"/>
                <w:sz w:val="18"/>
              </w:rPr>
              <w:fldChar w:fldCharType="begin">
                <w:ffData>
                  <w:name w:val="Text1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8E3692E" w14:textId="77777777" w:rsidR="00CE13F3" w:rsidRPr="00CE13F3" w:rsidRDefault="00CE13F3" w:rsidP="00CE13F3">
            <w:pPr>
              <w:rPr>
                <w:rFonts w:ascii="Arial" w:hAnsi="Arial"/>
                <w:sz w:val="18"/>
              </w:rPr>
            </w:pPr>
            <w:r w:rsidRPr="00CE13F3">
              <w:rPr>
                <w:rFonts w:ascii="Arial" w:hAnsi="Arial"/>
                <w:sz w:val="18"/>
              </w:rPr>
              <w:fldChar w:fldCharType="begin">
                <w:ffData>
                  <w:name w:val="Text1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746C07D" w14:textId="77777777" w:rsidR="00CE13F3" w:rsidRPr="00CE13F3" w:rsidRDefault="00CE13F3" w:rsidP="00CE13F3">
            <w:pPr>
              <w:rPr>
                <w:rFonts w:ascii="Arial" w:hAnsi="Arial"/>
                <w:sz w:val="18"/>
              </w:rPr>
            </w:pPr>
            <w:r w:rsidRPr="00CE13F3">
              <w:rPr>
                <w:rFonts w:ascii="Arial" w:hAnsi="Arial"/>
                <w:sz w:val="18"/>
              </w:rPr>
              <w:fldChar w:fldCharType="begin">
                <w:ffData>
                  <w:name w:val="Text2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053266C" w14:textId="77777777" w:rsidR="00CE13F3" w:rsidRPr="00CE13F3" w:rsidRDefault="00CE13F3" w:rsidP="00CE13F3">
            <w:pPr>
              <w:rPr>
                <w:rFonts w:ascii="Arial" w:hAnsi="Arial"/>
                <w:sz w:val="18"/>
              </w:rPr>
            </w:pPr>
            <w:r w:rsidRPr="00CE13F3">
              <w:rPr>
                <w:rFonts w:ascii="Arial" w:hAnsi="Arial"/>
                <w:sz w:val="18"/>
              </w:rPr>
              <w:fldChar w:fldCharType="begin">
                <w:ffData>
                  <w:name w:val="Text2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0F5BAC0" w14:textId="77777777" w:rsidR="00CE13F3" w:rsidRPr="00CE13F3" w:rsidRDefault="00CE13F3" w:rsidP="00CE13F3">
            <w:pPr>
              <w:rPr>
                <w:rFonts w:ascii="Arial" w:hAnsi="Arial"/>
                <w:sz w:val="18"/>
              </w:rPr>
            </w:pPr>
            <w:r w:rsidRPr="00CE13F3">
              <w:rPr>
                <w:rFonts w:ascii="Arial" w:hAnsi="Arial"/>
                <w:sz w:val="18"/>
              </w:rPr>
              <w:fldChar w:fldCharType="begin">
                <w:ffData>
                  <w:name w:val="Text2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E0A3675" w14:textId="77777777" w:rsidR="00CE13F3" w:rsidRPr="00CE13F3" w:rsidRDefault="00CE13F3" w:rsidP="00CE13F3">
            <w:pPr>
              <w:rPr>
                <w:rFonts w:ascii="Arial" w:hAnsi="Arial"/>
                <w:sz w:val="18"/>
              </w:rPr>
            </w:pPr>
            <w:r w:rsidRPr="00CE13F3">
              <w:rPr>
                <w:rFonts w:ascii="Arial" w:hAnsi="Arial"/>
                <w:sz w:val="18"/>
              </w:rPr>
              <w:fldChar w:fldCharType="begin">
                <w:ffData>
                  <w:name w:val="Text2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8D8171E" w14:textId="77777777" w:rsidR="00CE13F3" w:rsidRPr="00CE13F3" w:rsidRDefault="00CE13F3" w:rsidP="00CE13F3">
            <w:pPr>
              <w:rPr>
                <w:rFonts w:ascii="Arial" w:hAnsi="Arial"/>
                <w:sz w:val="18"/>
              </w:rPr>
            </w:pPr>
            <w:r w:rsidRPr="00CE13F3">
              <w:rPr>
                <w:rFonts w:ascii="Arial" w:hAnsi="Arial"/>
                <w:sz w:val="18"/>
              </w:rPr>
              <w:fldChar w:fldCharType="begin">
                <w:ffData>
                  <w:name w:val="Text2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4FBDA54" w14:textId="77777777" w:rsidR="00CE13F3" w:rsidRPr="00CE13F3" w:rsidRDefault="00CE13F3" w:rsidP="00CE13F3">
            <w:pPr>
              <w:rPr>
                <w:rFonts w:ascii="Arial" w:hAnsi="Arial"/>
                <w:sz w:val="18"/>
              </w:rPr>
            </w:pPr>
            <w:r w:rsidRPr="00CE13F3">
              <w:rPr>
                <w:rFonts w:ascii="Arial" w:hAnsi="Arial"/>
                <w:sz w:val="18"/>
              </w:rPr>
              <w:fldChar w:fldCharType="begin">
                <w:ffData>
                  <w:name w:val="Text2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CF388E2" w14:textId="77777777" w:rsidR="00CE13F3" w:rsidRPr="00CE13F3" w:rsidRDefault="00CE13F3" w:rsidP="00CE13F3">
            <w:pPr>
              <w:rPr>
                <w:rFonts w:ascii="Arial" w:hAnsi="Arial"/>
                <w:sz w:val="18"/>
              </w:rPr>
            </w:pPr>
            <w:r w:rsidRPr="00CE13F3">
              <w:rPr>
                <w:rFonts w:ascii="Arial" w:hAnsi="Arial"/>
                <w:sz w:val="18"/>
              </w:rPr>
              <w:fldChar w:fldCharType="begin">
                <w:ffData>
                  <w:name w:val="Text2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5D6FAB4" w14:textId="77777777" w:rsidR="00CE13F3" w:rsidRPr="00CE13F3" w:rsidRDefault="00CE13F3" w:rsidP="00CE13F3">
            <w:pPr>
              <w:rPr>
                <w:rFonts w:ascii="Arial" w:hAnsi="Arial"/>
                <w:sz w:val="18"/>
              </w:rPr>
            </w:pPr>
            <w:r w:rsidRPr="00CE13F3">
              <w:rPr>
                <w:rFonts w:ascii="Arial" w:hAnsi="Arial"/>
                <w:sz w:val="18"/>
              </w:rPr>
              <w:fldChar w:fldCharType="begin">
                <w:ffData>
                  <w:name w:val="Text2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35C927F" w14:textId="77777777" w:rsidR="00CE13F3" w:rsidRPr="00CE13F3" w:rsidRDefault="00CE13F3" w:rsidP="00CE13F3">
            <w:pPr>
              <w:rPr>
                <w:rFonts w:ascii="Arial" w:hAnsi="Arial"/>
                <w:sz w:val="18"/>
              </w:rPr>
            </w:pPr>
            <w:r w:rsidRPr="00CE13F3">
              <w:rPr>
                <w:rFonts w:ascii="Arial" w:hAnsi="Arial"/>
                <w:sz w:val="18"/>
              </w:rPr>
              <w:fldChar w:fldCharType="begin">
                <w:ffData>
                  <w:name w:val="Text2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tc>
        <w:tc>
          <w:tcPr>
            <w:tcW w:w="795" w:type="pct"/>
          </w:tcPr>
          <w:p w14:paraId="716CFA6F" w14:textId="77777777" w:rsidR="00CE13F3" w:rsidRPr="00CE13F3" w:rsidRDefault="00CE13F3" w:rsidP="00CE13F3">
            <w:pPr>
              <w:rPr>
                <w:rFonts w:ascii="Arial" w:hAnsi="Arial"/>
                <w:sz w:val="18"/>
              </w:rPr>
            </w:pPr>
            <w:r w:rsidRPr="00CE13F3">
              <w:rPr>
                <w:rFonts w:ascii="Arial" w:hAnsi="Arial"/>
                <w:sz w:val="18"/>
              </w:rPr>
              <w:fldChar w:fldCharType="begin">
                <w:ffData>
                  <w:name w:val="Text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CD06E87" w14:textId="77777777" w:rsidR="00CE13F3" w:rsidRPr="00CE13F3" w:rsidRDefault="00CE13F3" w:rsidP="00CE13F3">
            <w:pPr>
              <w:rPr>
                <w:rFonts w:ascii="Arial" w:hAnsi="Arial"/>
                <w:sz w:val="18"/>
              </w:rPr>
            </w:pPr>
            <w:r w:rsidRPr="00CE13F3">
              <w:rPr>
                <w:rFonts w:ascii="Arial" w:hAnsi="Arial"/>
                <w:sz w:val="18"/>
              </w:rPr>
              <w:fldChar w:fldCharType="begin">
                <w:ffData>
                  <w:name w:val="Text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32D3B22" w14:textId="77777777" w:rsidR="00CE13F3" w:rsidRPr="00CE13F3" w:rsidRDefault="00CE13F3" w:rsidP="00CE13F3">
            <w:pPr>
              <w:rPr>
                <w:rFonts w:ascii="Arial" w:hAnsi="Arial"/>
                <w:sz w:val="18"/>
              </w:rPr>
            </w:pPr>
            <w:r w:rsidRPr="00CE13F3">
              <w:rPr>
                <w:rFonts w:ascii="Arial" w:hAnsi="Arial"/>
                <w:sz w:val="18"/>
              </w:rPr>
              <w:fldChar w:fldCharType="begin">
                <w:ffData>
                  <w:name w:val="Text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9427E90" w14:textId="77777777" w:rsidR="00CE13F3" w:rsidRPr="00CE13F3" w:rsidRDefault="00CE13F3" w:rsidP="00CE13F3">
            <w:pPr>
              <w:rPr>
                <w:rFonts w:ascii="Arial" w:hAnsi="Arial"/>
                <w:sz w:val="18"/>
              </w:rPr>
            </w:pPr>
            <w:r w:rsidRPr="00CE13F3">
              <w:rPr>
                <w:rFonts w:ascii="Arial" w:hAnsi="Arial"/>
                <w:sz w:val="18"/>
              </w:rPr>
              <w:fldChar w:fldCharType="begin">
                <w:ffData>
                  <w:name w:val="Text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6FE33C6" w14:textId="77777777" w:rsidR="00CE13F3" w:rsidRPr="00CE13F3" w:rsidRDefault="00CE13F3" w:rsidP="00CE13F3">
            <w:pPr>
              <w:rPr>
                <w:rFonts w:ascii="Arial" w:hAnsi="Arial"/>
                <w:sz w:val="18"/>
              </w:rPr>
            </w:pPr>
            <w:r w:rsidRPr="00CE13F3">
              <w:rPr>
                <w:rFonts w:ascii="Arial" w:hAnsi="Arial"/>
                <w:sz w:val="18"/>
              </w:rPr>
              <w:fldChar w:fldCharType="begin">
                <w:ffData>
                  <w:name w:val="Text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1152E7D" w14:textId="77777777" w:rsidR="00CE13F3" w:rsidRPr="00CE13F3" w:rsidRDefault="00CE13F3" w:rsidP="00CE13F3">
            <w:pPr>
              <w:rPr>
                <w:rFonts w:ascii="Arial" w:hAnsi="Arial"/>
                <w:sz w:val="18"/>
              </w:rPr>
            </w:pPr>
            <w:r w:rsidRPr="00CE13F3">
              <w:rPr>
                <w:rFonts w:ascii="Arial" w:hAnsi="Arial"/>
                <w:sz w:val="18"/>
              </w:rPr>
              <w:fldChar w:fldCharType="begin">
                <w:ffData>
                  <w:name w:val="Text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4A5390A" w14:textId="77777777" w:rsidR="00CE13F3" w:rsidRPr="00CE13F3" w:rsidRDefault="00CE13F3" w:rsidP="00CE13F3">
            <w:pPr>
              <w:rPr>
                <w:rFonts w:ascii="Arial" w:hAnsi="Arial"/>
                <w:sz w:val="18"/>
              </w:rPr>
            </w:pPr>
            <w:r w:rsidRPr="00CE13F3">
              <w:rPr>
                <w:rFonts w:ascii="Arial" w:hAnsi="Arial"/>
                <w:sz w:val="18"/>
              </w:rPr>
              <w:fldChar w:fldCharType="begin">
                <w:ffData>
                  <w:name w:val="Text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18A2759" w14:textId="77777777" w:rsidR="00CE13F3" w:rsidRPr="00CE13F3" w:rsidRDefault="00CE13F3" w:rsidP="00CE13F3">
            <w:pPr>
              <w:rPr>
                <w:rFonts w:ascii="Arial" w:hAnsi="Arial"/>
                <w:sz w:val="18"/>
              </w:rPr>
            </w:pPr>
            <w:r w:rsidRPr="00CE13F3">
              <w:rPr>
                <w:rFonts w:ascii="Arial" w:hAnsi="Arial"/>
                <w:sz w:val="18"/>
              </w:rPr>
              <w:fldChar w:fldCharType="begin">
                <w:ffData>
                  <w:name w:val="Text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C145EB2" w14:textId="77777777" w:rsidR="00CE13F3" w:rsidRPr="00CE13F3" w:rsidRDefault="00CE13F3" w:rsidP="00CE13F3">
            <w:pPr>
              <w:rPr>
                <w:rFonts w:ascii="Arial" w:hAnsi="Arial"/>
                <w:sz w:val="18"/>
              </w:rPr>
            </w:pPr>
            <w:r w:rsidRPr="00CE13F3">
              <w:rPr>
                <w:rFonts w:ascii="Arial" w:hAnsi="Arial"/>
                <w:sz w:val="18"/>
              </w:rPr>
              <w:fldChar w:fldCharType="begin">
                <w:ffData>
                  <w:name w:val="Text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4819294" w14:textId="77777777" w:rsidR="00CE13F3" w:rsidRPr="00CE13F3" w:rsidRDefault="00CE13F3" w:rsidP="00CE13F3">
            <w:pPr>
              <w:rPr>
                <w:rFonts w:ascii="Arial" w:hAnsi="Arial"/>
                <w:sz w:val="18"/>
              </w:rPr>
            </w:pPr>
            <w:r w:rsidRPr="00CE13F3">
              <w:rPr>
                <w:rFonts w:ascii="Arial" w:hAnsi="Arial"/>
                <w:sz w:val="18"/>
              </w:rPr>
              <w:fldChar w:fldCharType="begin">
                <w:ffData>
                  <w:name w:val="Text1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9E10F49" w14:textId="77777777" w:rsidR="00CE13F3" w:rsidRPr="00CE13F3" w:rsidRDefault="00CE13F3" w:rsidP="00CE13F3">
            <w:pPr>
              <w:rPr>
                <w:rFonts w:ascii="Arial" w:hAnsi="Arial"/>
                <w:sz w:val="18"/>
              </w:rPr>
            </w:pPr>
            <w:r w:rsidRPr="00CE13F3">
              <w:rPr>
                <w:rFonts w:ascii="Arial" w:hAnsi="Arial"/>
                <w:sz w:val="18"/>
              </w:rPr>
              <w:fldChar w:fldCharType="begin">
                <w:ffData>
                  <w:name w:val="Text1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A141CFE" w14:textId="77777777" w:rsidR="00CE13F3" w:rsidRPr="00CE13F3" w:rsidRDefault="00CE13F3" w:rsidP="00CE13F3">
            <w:pPr>
              <w:rPr>
                <w:rFonts w:ascii="Arial" w:hAnsi="Arial"/>
                <w:sz w:val="18"/>
              </w:rPr>
            </w:pPr>
            <w:r w:rsidRPr="00CE13F3">
              <w:rPr>
                <w:rFonts w:ascii="Arial" w:hAnsi="Arial"/>
                <w:sz w:val="18"/>
              </w:rPr>
              <w:fldChar w:fldCharType="begin">
                <w:ffData>
                  <w:name w:val="Text1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0A8FBF7" w14:textId="77777777" w:rsidR="00CE13F3" w:rsidRPr="00CE13F3" w:rsidRDefault="00CE13F3" w:rsidP="00CE13F3">
            <w:pPr>
              <w:rPr>
                <w:rFonts w:ascii="Arial" w:hAnsi="Arial"/>
                <w:sz w:val="18"/>
              </w:rPr>
            </w:pPr>
            <w:r w:rsidRPr="00CE13F3">
              <w:rPr>
                <w:rFonts w:ascii="Arial" w:hAnsi="Arial"/>
                <w:sz w:val="18"/>
              </w:rPr>
              <w:fldChar w:fldCharType="begin">
                <w:ffData>
                  <w:name w:val="Text1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DD6F558" w14:textId="77777777" w:rsidR="00CE13F3" w:rsidRPr="00CE13F3" w:rsidRDefault="00CE13F3" w:rsidP="00CE13F3">
            <w:pPr>
              <w:rPr>
                <w:rFonts w:ascii="Arial" w:hAnsi="Arial"/>
                <w:sz w:val="18"/>
              </w:rPr>
            </w:pPr>
            <w:r w:rsidRPr="00CE13F3">
              <w:rPr>
                <w:rFonts w:ascii="Arial" w:hAnsi="Arial"/>
                <w:sz w:val="18"/>
              </w:rPr>
              <w:fldChar w:fldCharType="begin">
                <w:ffData>
                  <w:name w:val="Text1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A8EF6CC" w14:textId="77777777" w:rsidR="00CE13F3" w:rsidRPr="00CE13F3" w:rsidRDefault="00CE13F3" w:rsidP="00CE13F3">
            <w:pPr>
              <w:rPr>
                <w:rFonts w:ascii="Arial" w:hAnsi="Arial"/>
                <w:sz w:val="18"/>
              </w:rPr>
            </w:pPr>
            <w:r w:rsidRPr="00CE13F3">
              <w:rPr>
                <w:rFonts w:ascii="Arial" w:hAnsi="Arial"/>
                <w:sz w:val="18"/>
              </w:rPr>
              <w:fldChar w:fldCharType="begin">
                <w:ffData>
                  <w:name w:val="Text1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99EFB66" w14:textId="77777777" w:rsidR="00CE13F3" w:rsidRPr="00CE13F3" w:rsidRDefault="00CE13F3" w:rsidP="00CE13F3">
            <w:pPr>
              <w:rPr>
                <w:rFonts w:ascii="Arial" w:hAnsi="Arial"/>
                <w:sz w:val="18"/>
              </w:rPr>
            </w:pPr>
            <w:r w:rsidRPr="00CE13F3">
              <w:rPr>
                <w:rFonts w:ascii="Arial" w:hAnsi="Arial"/>
                <w:sz w:val="18"/>
              </w:rPr>
              <w:fldChar w:fldCharType="begin">
                <w:ffData>
                  <w:name w:val="Text1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31F6BAB" w14:textId="77777777" w:rsidR="00CE13F3" w:rsidRPr="00CE13F3" w:rsidRDefault="00CE13F3" w:rsidP="00CE13F3">
            <w:pPr>
              <w:rPr>
                <w:rFonts w:ascii="Arial" w:hAnsi="Arial"/>
                <w:sz w:val="18"/>
              </w:rPr>
            </w:pPr>
            <w:r w:rsidRPr="00CE13F3">
              <w:rPr>
                <w:rFonts w:ascii="Arial" w:hAnsi="Arial"/>
                <w:sz w:val="18"/>
              </w:rPr>
              <w:fldChar w:fldCharType="begin">
                <w:ffData>
                  <w:name w:val="Text1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7726361" w14:textId="77777777" w:rsidR="00CE13F3" w:rsidRPr="00CE13F3" w:rsidRDefault="00CE13F3" w:rsidP="00CE13F3">
            <w:pPr>
              <w:rPr>
                <w:rFonts w:ascii="Arial" w:hAnsi="Arial"/>
                <w:sz w:val="18"/>
              </w:rPr>
            </w:pPr>
            <w:r w:rsidRPr="00CE13F3">
              <w:rPr>
                <w:rFonts w:ascii="Arial" w:hAnsi="Arial"/>
                <w:sz w:val="18"/>
              </w:rPr>
              <w:fldChar w:fldCharType="begin">
                <w:ffData>
                  <w:name w:val="Text2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A5B350F" w14:textId="77777777" w:rsidR="00CE13F3" w:rsidRPr="00CE13F3" w:rsidRDefault="00CE13F3" w:rsidP="00CE13F3">
            <w:pPr>
              <w:rPr>
                <w:rFonts w:ascii="Arial" w:hAnsi="Arial"/>
                <w:sz w:val="18"/>
              </w:rPr>
            </w:pPr>
            <w:r w:rsidRPr="00CE13F3">
              <w:rPr>
                <w:rFonts w:ascii="Arial" w:hAnsi="Arial"/>
                <w:sz w:val="18"/>
              </w:rPr>
              <w:fldChar w:fldCharType="begin">
                <w:ffData>
                  <w:name w:val="Text2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80F82D3" w14:textId="77777777" w:rsidR="00CE13F3" w:rsidRPr="00CE13F3" w:rsidRDefault="00CE13F3" w:rsidP="00CE13F3">
            <w:pPr>
              <w:rPr>
                <w:rFonts w:ascii="Arial" w:hAnsi="Arial"/>
                <w:sz w:val="18"/>
              </w:rPr>
            </w:pPr>
            <w:r w:rsidRPr="00CE13F3">
              <w:rPr>
                <w:rFonts w:ascii="Arial" w:hAnsi="Arial"/>
                <w:sz w:val="18"/>
              </w:rPr>
              <w:fldChar w:fldCharType="begin">
                <w:ffData>
                  <w:name w:val="Text2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61AB498" w14:textId="77777777" w:rsidR="00CE13F3" w:rsidRPr="00CE13F3" w:rsidRDefault="00CE13F3" w:rsidP="00CE13F3">
            <w:pPr>
              <w:rPr>
                <w:rFonts w:ascii="Arial" w:hAnsi="Arial"/>
                <w:sz w:val="18"/>
              </w:rPr>
            </w:pPr>
            <w:r w:rsidRPr="00CE13F3">
              <w:rPr>
                <w:rFonts w:ascii="Arial" w:hAnsi="Arial"/>
                <w:sz w:val="18"/>
              </w:rPr>
              <w:fldChar w:fldCharType="begin">
                <w:ffData>
                  <w:name w:val="Text2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98ED9D4" w14:textId="77777777" w:rsidR="00CE13F3" w:rsidRPr="00CE13F3" w:rsidRDefault="00CE13F3" w:rsidP="00CE13F3">
            <w:pPr>
              <w:rPr>
                <w:rFonts w:ascii="Arial" w:hAnsi="Arial"/>
                <w:sz w:val="18"/>
              </w:rPr>
            </w:pPr>
            <w:r w:rsidRPr="00CE13F3">
              <w:rPr>
                <w:rFonts w:ascii="Arial" w:hAnsi="Arial"/>
                <w:sz w:val="18"/>
              </w:rPr>
              <w:fldChar w:fldCharType="begin">
                <w:ffData>
                  <w:name w:val="Text2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8474CBF" w14:textId="77777777" w:rsidR="00CE13F3" w:rsidRPr="00CE13F3" w:rsidRDefault="00CE13F3" w:rsidP="00CE13F3">
            <w:pPr>
              <w:rPr>
                <w:rFonts w:ascii="Arial" w:hAnsi="Arial"/>
                <w:sz w:val="18"/>
              </w:rPr>
            </w:pPr>
            <w:r w:rsidRPr="00CE13F3">
              <w:rPr>
                <w:rFonts w:ascii="Arial" w:hAnsi="Arial"/>
                <w:sz w:val="18"/>
              </w:rPr>
              <w:fldChar w:fldCharType="begin">
                <w:ffData>
                  <w:name w:val="Text2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257EDBE" w14:textId="77777777" w:rsidR="00CE13F3" w:rsidRPr="00CE13F3" w:rsidRDefault="00CE13F3" w:rsidP="00CE13F3">
            <w:pPr>
              <w:rPr>
                <w:rFonts w:ascii="Arial" w:hAnsi="Arial"/>
                <w:sz w:val="18"/>
              </w:rPr>
            </w:pPr>
            <w:r w:rsidRPr="00CE13F3">
              <w:rPr>
                <w:rFonts w:ascii="Arial" w:hAnsi="Arial"/>
                <w:sz w:val="18"/>
              </w:rPr>
              <w:fldChar w:fldCharType="begin">
                <w:ffData>
                  <w:name w:val="Text2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24847E7" w14:textId="77777777" w:rsidR="00CE13F3" w:rsidRPr="00CE13F3" w:rsidRDefault="00CE13F3" w:rsidP="00CE13F3">
            <w:pPr>
              <w:rPr>
                <w:rFonts w:ascii="Arial" w:hAnsi="Arial"/>
                <w:sz w:val="18"/>
              </w:rPr>
            </w:pPr>
            <w:r w:rsidRPr="00CE13F3">
              <w:rPr>
                <w:rFonts w:ascii="Arial" w:hAnsi="Arial"/>
                <w:sz w:val="18"/>
              </w:rPr>
              <w:fldChar w:fldCharType="begin">
                <w:ffData>
                  <w:name w:val="Text2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9FB0D0A" w14:textId="77777777" w:rsidR="00CE13F3" w:rsidRPr="00CE13F3" w:rsidRDefault="00CE13F3" w:rsidP="00CE13F3">
            <w:pPr>
              <w:rPr>
                <w:rFonts w:ascii="Arial" w:hAnsi="Arial"/>
                <w:sz w:val="18"/>
              </w:rPr>
            </w:pPr>
            <w:r w:rsidRPr="00CE13F3">
              <w:rPr>
                <w:rFonts w:ascii="Arial" w:hAnsi="Arial"/>
                <w:sz w:val="18"/>
              </w:rPr>
              <w:fldChar w:fldCharType="begin">
                <w:ffData>
                  <w:name w:val="Text2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tc>
        <w:tc>
          <w:tcPr>
            <w:tcW w:w="1021" w:type="pct"/>
          </w:tcPr>
          <w:p w14:paraId="1F2FF1E0" w14:textId="77777777" w:rsidR="00CE13F3" w:rsidRPr="00CE13F3" w:rsidRDefault="00CE13F3" w:rsidP="00CE13F3">
            <w:pPr>
              <w:rPr>
                <w:rFonts w:ascii="Arial" w:hAnsi="Arial"/>
                <w:sz w:val="18"/>
              </w:rPr>
            </w:pPr>
            <w:r w:rsidRPr="00CE13F3">
              <w:rPr>
                <w:rFonts w:ascii="Arial" w:hAnsi="Arial"/>
                <w:sz w:val="18"/>
              </w:rPr>
              <w:fldChar w:fldCharType="begin">
                <w:ffData>
                  <w:name w:val="Text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D5EE7E2" w14:textId="77777777" w:rsidR="00CE13F3" w:rsidRPr="00CE13F3" w:rsidRDefault="00CE13F3" w:rsidP="00CE13F3">
            <w:pPr>
              <w:rPr>
                <w:rFonts w:ascii="Arial" w:hAnsi="Arial"/>
                <w:sz w:val="18"/>
              </w:rPr>
            </w:pPr>
            <w:r w:rsidRPr="00CE13F3">
              <w:rPr>
                <w:rFonts w:ascii="Arial" w:hAnsi="Arial"/>
                <w:sz w:val="18"/>
              </w:rPr>
              <w:fldChar w:fldCharType="begin">
                <w:ffData>
                  <w:name w:val="Text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CF283D9" w14:textId="77777777" w:rsidR="00CE13F3" w:rsidRPr="00CE13F3" w:rsidRDefault="00CE13F3" w:rsidP="00CE13F3">
            <w:pPr>
              <w:rPr>
                <w:rFonts w:ascii="Arial" w:hAnsi="Arial"/>
                <w:sz w:val="18"/>
              </w:rPr>
            </w:pPr>
            <w:r w:rsidRPr="00CE13F3">
              <w:rPr>
                <w:rFonts w:ascii="Arial" w:hAnsi="Arial"/>
                <w:sz w:val="18"/>
              </w:rPr>
              <w:fldChar w:fldCharType="begin">
                <w:ffData>
                  <w:name w:val="Text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EB8DEE4" w14:textId="77777777" w:rsidR="00CE13F3" w:rsidRPr="00CE13F3" w:rsidRDefault="00CE13F3" w:rsidP="00CE13F3">
            <w:pPr>
              <w:rPr>
                <w:rFonts w:ascii="Arial" w:hAnsi="Arial"/>
                <w:sz w:val="18"/>
              </w:rPr>
            </w:pPr>
            <w:r w:rsidRPr="00CE13F3">
              <w:rPr>
                <w:rFonts w:ascii="Arial" w:hAnsi="Arial"/>
                <w:sz w:val="18"/>
              </w:rPr>
              <w:fldChar w:fldCharType="begin">
                <w:ffData>
                  <w:name w:val="Text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54BC079" w14:textId="77777777" w:rsidR="00CE13F3" w:rsidRPr="00CE13F3" w:rsidRDefault="00CE13F3" w:rsidP="00CE13F3">
            <w:pPr>
              <w:rPr>
                <w:rFonts w:ascii="Arial" w:hAnsi="Arial"/>
                <w:sz w:val="18"/>
              </w:rPr>
            </w:pPr>
            <w:r w:rsidRPr="00CE13F3">
              <w:rPr>
                <w:rFonts w:ascii="Arial" w:hAnsi="Arial"/>
                <w:sz w:val="18"/>
              </w:rPr>
              <w:fldChar w:fldCharType="begin">
                <w:ffData>
                  <w:name w:val="Text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623AE28" w14:textId="77777777" w:rsidR="00CE13F3" w:rsidRPr="00CE13F3" w:rsidRDefault="00CE13F3" w:rsidP="00CE13F3">
            <w:pPr>
              <w:rPr>
                <w:rFonts w:ascii="Arial" w:hAnsi="Arial"/>
                <w:sz w:val="18"/>
              </w:rPr>
            </w:pPr>
            <w:r w:rsidRPr="00CE13F3">
              <w:rPr>
                <w:rFonts w:ascii="Arial" w:hAnsi="Arial"/>
                <w:sz w:val="18"/>
              </w:rPr>
              <w:fldChar w:fldCharType="begin">
                <w:ffData>
                  <w:name w:val="Text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1DD2A53" w14:textId="77777777" w:rsidR="00CE13F3" w:rsidRPr="00CE13F3" w:rsidRDefault="00CE13F3" w:rsidP="00CE13F3">
            <w:pPr>
              <w:rPr>
                <w:rFonts w:ascii="Arial" w:hAnsi="Arial"/>
                <w:sz w:val="18"/>
              </w:rPr>
            </w:pPr>
            <w:r w:rsidRPr="00CE13F3">
              <w:rPr>
                <w:rFonts w:ascii="Arial" w:hAnsi="Arial"/>
                <w:sz w:val="18"/>
              </w:rPr>
              <w:fldChar w:fldCharType="begin">
                <w:ffData>
                  <w:name w:val="Text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CAD53F3" w14:textId="77777777" w:rsidR="00CE13F3" w:rsidRPr="00CE13F3" w:rsidRDefault="00CE13F3" w:rsidP="00CE13F3">
            <w:pPr>
              <w:rPr>
                <w:rFonts w:ascii="Arial" w:hAnsi="Arial"/>
                <w:sz w:val="18"/>
              </w:rPr>
            </w:pPr>
            <w:r w:rsidRPr="00CE13F3">
              <w:rPr>
                <w:rFonts w:ascii="Arial" w:hAnsi="Arial"/>
                <w:sz w:val="18"/>
              </w:rPr>
              <w:fldChar w:fldCharType="begin">
                <w:ffData>
                  <w:name w:val="Text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07A41AF" w14:textId="77777777" w:rsidR="00CE13F3" w:rsidRPr="00CE13F3" w:rsidRDefault="00CE13F3" w:rsidP="00CE13F3">
            <w:pPr>
              <w:rPr>
                <w:rFonts w:ascii="Arial" w:hAnsi="Arial"/>
                <w:sz w:val="18"/>
              </w:rPr>
            </w:pPr>
            <w:r w:rsidRPr="00CE13F3">
              <w:rPr>
                <w:rFonts w:ascii="Arial" w:hAnsi="Arial"/>
                <w:sz w:val="18"/>
              </w:rPr>
              <w:fldChar w:fldCharType="begin">
                <w:ffData>
                  <w:name w:val="Text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D36AE18" w14:textId="77777777" w:rsidR="00CE13F3" w:rsidRPr="00CE13F3" w:rsidRDefault="00CE13F3" w:rsidP="00CE13F3">
            <w:pPr>
              <w:rPr>
                <w:rFonts w:ascii="Arial" w:hAnsi="Arial"/>
                <w:sz w:val="18"/>
              </w:rPr>
            </w:pPr>
            <w:r w:rsidRPr="00CE13F3">
              <w:rPr>
                <w:rFonts w:ascii="Arial" w:hAnsi="Arial"/>
                <w:sz w:val="18"/>
              </w:rPr>
              <w:fldChar w:fldCharType="begin">
                <w:ffData>
                  <w:name w:val="Text1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5C18831" w14:textId="77777777" w:rsidR="00CE13F3" w:rsidRPr="00CE13F3" w:rsidRDefault="00CE13F3" w:rsidP="00CE13F3">
            <w:pPr>
              <w:rPr>
                <w:rFonts w:ascii="Arial" w:hAnsi="Arial"/>
                <w:sz w:val="18"/>
              </w:rPr>
            </w:pPr>
            <w:r w:rsidRPr="00CE13F3">
              <w:rPr>
                <w:rFonts w:ascii="Arial" w:hAnsi="Arial"/>
                <w:sz w:val="18"/>
              </w:rPr>
              <w:fldChar w:fldCharType="begin">
                <w:ffData>
                  <w:name w:val="Text1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C927F7E" w14:textId="77777777" w:rsidR="00CE13F3" w:rsidRPr="00CE13F3" w:rsidRDefault="00CE13F3" w:rsidP="00CE13F3">
            <w:pPr>
              <w:rPr>
                <w:rFonts w:ascii="Arial" w:hAnsi="Arial"/>
                <w:sz w:val="18"/>
              </w:rPr>
            </w:pPr>
            <w:r w:rsidRPr="00CE13F3">
              <w:rPr>
                <w:rFonts w:ascii="Arial" w:hAnsi="Arial"/>
                <w:sz w:val="18"/>
              </w:rPr>
              <w:fldChar w:fldCharType="begin">
                <w:ffData>
                  <w:name w:val="Text1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B31C762" w14:textId="77777777" w:rsidR="00CE13F3" w:rsidRPr="00CE13F3" w:rsidRDefault="00CE13F3" w:rsidP="00CE13F3">
            <w:pPr>
              <w:rPr>
                <w:rFonts w:ascii="Arial" w:hAnsi="Arial"/>
                <w:sz w:val="18"/>
              </w:rPr>
            </w:pPr>
            <w:r w:rsidRPr="00CE13F3">
              <w:rPr>
                <w:rFonts w:ascii="Arial" w:hAnsi="Arial"/>
                <w:sz w:val="18"/>
              </w:rPr>
              <w:fldChar w:fldCharType="begin">
                <w:ffData>
                  <w:name w:val="Text1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FBAE6CC" w14:textId="77777777" w:rsidR="00CE13F3" w:rsidRPr="00CE13F3" w:rsidRDefault="00CE13F3" w:rsidP="00CE13F3">
            <w:pPr>
              <w:rPr>
                <w:rFonts w:ascii="Arial" w:hAnsi="Arial"/>
                <w:sz w:val="18"/>
              </w:rPr>
            </w:pPr>
            <w:r w:rsidRPr="00CE13F3">
              <w:rPr>
                <w:rFonts w:ascii="Arial" w:hAnsi="Arial"/>
                <w:sz w:val="18"/>
              </w:rPr>
              <w:fldChar w:fldCharType="begin">
                <w:ffData>
                  <w:name w:val="Text1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0350509" w14:textId="77777777" w:rsidR="00CE13F3" w:rsidRPr="00CE13F3" w:rsidRDefault="00CE13F3" w:rsidP="00CE13F3">
            <w:pPr>
              <w:rPr>
                <w:rFonts w:ascii="Arial" w:hAnsi="Arial"/>
                <w:sz w:val="18"/>
              </w:rPr>
            </w:pPr>
            <w:r w:rsidRPr="00CE13F3">
              <w:rPr>
                <w:rFonts w:ascii="Arial" w:hAnsi="Arial"/>
                <w:sz w:val="18"/>
              </w:rPr>
              <w:fldChar w:fldCharType="begin">
                <w:ffData>
                  <w:name w:val="Text1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D0F1DE2" w14:textId="77777777" w:rsidR="00CE13F3" w:rsidRPr="00CE13F3" w:rsidRDefault="00CE13F3" w:rsidP="00CE13F3">
            <w:pPr>
              <w:rPr>
                <w:rFonts w:ascii="Arial" w:hAnsi="Arial"/>
                <w:sz w:val="18"/>
              </w:rPr>
            </w:pPr>
            <w:r w:rsidRPr="00CE13F3">
              <w:rPr>
                <w:rFonts w:ascii="Arial" w:hAnsi="Arial"/>
                <w:sz w:val="18"/>
              </w:rPr>
              <w:fldChar w:fldCharType="begin">
                <w:ffData>
                  <w:name w:val="Text1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7FA4B6F" w14:textId="77777777" w:rsidR="00CE13F3" w:rsidRPr="00CE13F3" w:rsidRDefault="00CE13F3" w:rsidP="00CE13F3">
            <w:pPr>
              <w:rPr>
                <w:rFonts w:ascii="Arial" w:hAnsi="Arial"/>
                <w:sz w:val="18"/>
              </w:rPr>
            </w:pPr>
            <w:r w:rsidRPr="00CE13F3">
              <w:rPr>
                <w:rFonts w:ascii="Arial" w:hAnsi="Arial"/>
                <w:sz w:val="18"/>
              </w:rPr>
              <w:fldChar w:fldCharType="begin">
                <w:ffData>
                  <w:name w:val="Text1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82C9D1E" w14:textId="77777777" w:rsidR="00CE13F3" w:rsidRPr="00CE13F3" w:rsidRDefault="00CE13F3" w:rsidP="00CE13F3">
            <w:pPr>
              <w:rPr>
                <w:rFonts w:ascii="Arial" w:hAnsi="Arial"/>
                <w:sz w:val="18"/>
              </w:rPr>
            </w:pPr>
            <w:r w:rsidRPr="00CE13F3">
              <w:rPr>
                <w:rFonts w:ascii="Arial" w:hAnsi="Arial"/>
                <w:sz w:val="18"/>
              </w:rPr>
              <w:fldChar w:fldCharType="begin">
                <w:ffData>
                  <w:name w:val="Text2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2945FCA" w14:textId="77777777" w:rsidR="00CE13F3" w:rsidRPr="00CE13F3" w:rsidRDefault="00CE13F3" w:rsidP="00CE13F3">
            <w:pPr>
              <w:rPr>
                <w:rFonts w:ascii="Arial" w:hAnsi="Arial"/>
                <w:sz w:val="18"/>
              </w:rPr>
            </w:pPr>
            <w:r w:rsidRPr="00CE13F3">
              <w:rPr>
                <w:rFonts w:ascii="Arial" w:hAnsi="Arial"/>
                <w:sz w:val="18"/>
              </w:rPr>
              <w:fldChar w:fldCharType="begin">
                <w:ffData>
                  <w:name w:val="Text2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12BA4B2" w14:textId="77777777" w:rsidR="00CE13F3" w:rsidRPr="00CE13F3" w:rsidRDefault="00CE13F3" w:rsidP="00CE13F3">
            <w:pPr>
              <w:rPr>
                <w:rFonts w:ascii="Arial" w:hAnsi="Arial"/>
                <w:sz w:val="18"/>
              </w:rPr>
            </w:pPr>
            <w:r w:rsidRPr="00CE13F3">
              <w:rPr>
                <w:rFonts w:ascii="Arial" w:hAnsi="Arial"/>
                <w:sz w:val="18"/>
              </w:rPr>
              <w:fldChar w:fldCharType="begin">
                <w:ffData>
                  <w:name w:val="Text2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25A121D" w14:textId="77777777" w:rsidR="00CE13F3" w:rsidRPr="00CE13F3" w:rsidRDefault="00CE13F3" w:rsidP="00CE13F3">
            <w:pPr>
              <w:rPr>
                <w:rFonts w:ascii="Arial" w:hAnsi="Arial"/>
                <w:sz w:val="18"/>
              </w:rPr>
            </w:pPr>
            <w:r w:rsidRPr="00CE13F3">
              <w:rPr>
                <w:rFonts w:ascii="Arial" w:hAnsi="Arial"/>
                <w:sz w:val="18"/>
              </w:rPr>
              <w:fldChar w:fldCharType="begin">
                <w:ffData>
                  <w:name w:val="Text2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475A704" w14:textId="77777777" w:rsidR="00CE13F3" w:rsidRPr="00CE13F3" w:rsidRDefault="00CE13F3" w:rsidP="00CE13F3">
            <w:pPr>
              <w:rPr>
                <w:rFonts w:ascii="Arial" w:hAnsi="Arial"/>
                <w:sz w:val="18"/>
              </w:rPr>
            </w:pPr>
            <w:r w:rsidRPr="00CE13F3">
              <w:rPr>
                <w:rFonts w:ascii="Arial" w:hAnsi="Arial"/>
                <w:sz w:val="18"/>
              </w:rPr>
              <w:fldChar w:fldCharType="begin">
                <w:ffData>
                  <w:name w:val="Text2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0954567" w14:textId="77777777" w:rsidR="00CE13F3" w:rsidRPr="00CE13F3" w:rsidRDefault="00CE13F3" w:rsidP="00CE13F3">
            <w:pPr>
              <w:rPr>
                <w:rFonts w:ascii="Arial" w:hAnsi="Arial"/>
                <w:sz w:val="18"/>
              </w:rPr>
            </w:pPr>
            <w:r w:rsidRPr="00CE13F3">
              <w:rPr>
                <w:rFonts w:ascii="Arial" w:hAnsi="Arial"/>
                <w:sz w:val="18"/>
              </w:rPr>
              <w:fldChar w:fldCharType="begin">
                <w:ffData>
                  <w:name w:val="Text2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994717C" w14:textId="77777777" w:rsidR="00CE13F3" w:rsidRPr="00CE13F3" w:rsidRDefault="00CE13F3" w:rsidP="00CE13F3">
            <w:pPr>
              <w:rPr>
                <w:rFonts w:ascii="Arial" w:hAnsi="Arial"/>
                <w:sz w:val="18"/>
              </w:rPr>
            </w:pPr>
            <w:r w:rsidRPr="00CE13F3">
              <w:rPr>
                <w:rFonts w:ascii="Arial" w:hAnsi="Arial"/>
                <w:sz w:val="18"/>
              </w:rPr>
              <w:fldChar w:fldCharType="begin">
                <w:ffData>
                  <w:name w:val="Text2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ED27F8F" w14:textId="77777777" w:rsidR="00CE13F3" w:rsidRPr="00CE13F3" w:rsidRDefault="00CE13F3" w:rsidP="00CE13F3">
            <w:pPr>
              <w:rPr>
                <w:rFonts w:ascii="Arial" w:hAnsi="Arial"/>
                <w:sz w:val="18"/>
              </w:rPr>
            </w:pPr>
            <w:r w:rsidRPr="00CE13F3">
              <w:rPr>
                <w:rFonts w:ascii="Arial" w:hAnsi="Arial"/>
                <w:sz w:val="18"/>
              </w:rPr>
              <w:fldChar w:fldCharType="begin">
                <w:ffData>
                  <w:name w:val="Text2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C745ECC" w14:textId="77777777" w:rsidR="00CE13F3" w:rsidRPr="00CE13F3" w:rsidRDefault="00CE13F3" w:rsidP="00CE13F3">
            <w:pPr>
              <w:rPr>
                <w:rFonts w:ascii="Arial" w:hAnsi="Arial"/>
                <w:sz w:val="18"/>
              </w:rPr>
            </w:pPr>
            <w:r w:rsidRPr="00CE13F3">
              <w:rPr>
                <w:rFonts w:ascii="Arial" w:hAnsi="Arial"/>
                <w:sz w:val="18"/>
              </w:rPr>
              <w:fldChar w:fldCharType="begin">
                <w:ffData>
                  <w:name w:val="Text2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tc>
        <w:tc>
          <w:tcPr>
            <w:tcW w:w="1023" w:type="pct"/>
          </w:tcPr>
          <w:p w14:paraId="7765ADBE" w14:textId="77777777" w:rsidR="00CE13F3" w:rsidRPr="00CE13F3" w:rsidRDefault="00CE13F3" w:rsidP="00CE13F3">
            <w:pPr>
              <w:rPr>
                <w:rFonts w:ascii="Arial" w:hAnsi="Arial"/>
                <w:sz w:val="18"/>
              </w:rPr>
            </w:pPr>
            <w:r w:rsidRPr="00CE13F3">
              <w:rPr>
                <w:rFonts w:ascii="Arial" w:hAnsi="Arial"/>
                <w:sz w:val="18"/>
              </w:rPr>
              <w:fldChar w:fldCharType="begin">
                <w:ffData>
                  <w:name w:val="Text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2C758F9" w14:textId="77777777" w:rsidR="00CE13F3" w:rsidRPr="00CE13F3" w:rsidRDefault="00CE13F3" w:rsidP="00CE13F3">
            <w:pPr>
              <w:rPr>
                <w:rFonts w:ascii="Arial" w:hAnsi="Arial"/>
                <w:sz w:val="18"/>
              </w:rPr>
            </w:pPr>
            <w:r w:rsidRPr="00CE13F3">
              <w:rPr>
                <w:rFonts w:ascii="Arial" w:hAnsi="Arial"/>
                <w:sz w:val="18"/>
              </w:rPr>
              <w:fldChar w:fldCharType="begin">
                <w:ffData>
                  <w:name w:val="Text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4AD012F" w14:textId="77777777" w:rsidR="00CE13F3" w:rsidRPr="00CE13F3" w:rsidRDefault="00CE13F3" w:rsidP="00CE13F3">
            <w:pPr>
              <w:rPr>
                <w:rFonts w:ascii="Arial" w:hAnsi="Arial"/>
                <w:sz w:val="18"/>
              </w:rPr>
            </w:pPr>
            <w:r w:rsidRPr="00CE13F3">
              <w:rPr>
                <w:rFonts w:ascii="Arial" w:hAnsi="Arial"/>
                <w:sz w:val="18"/>
              </w:rPr>
              <w:fldChar w:fldCharType="begin">
                <w:ffData>
                  <w:name w:val="Text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C130871" w14:textId="77777777" w:rsidR="00CE13F3" w:rsidRPr="00CE13F3" w:rsidRDefault="00CE13F3" w:rsidP="00CE13F3">
            <w:pPr>
              <w:rPr>
                <w:rFonts w:ascii="Arial" w:hAnsi="Arial"/>
                <w:sz w:val="18"/>
              </w:rPr>
            </w:pPr>
            <w:r w:rsidRPr="00CE13F3">
              <w:rPr>
                <w:rFonts w:ascii="Arial" w:hAnsi="Arial"/>
                <w:sz w:val="18"/>
              </w:rPr>
              <w:fldChar w:fldCharType="begin">
                <w:ffData>
                  <w:name w:val="Text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137C2E0" w14:textId="77777777" w:rsidR="00CE13F3" w:rsidRPr="00CE13F3" w:rsidRDefault="00CE13F3" w:rsidP="00CE13F3">
            <w:pPr>
              <w:rPr>
                <w:rFonts w:ascii="Arial" w:hAnsi="Arial"/>
                <w:sz w:val="18"/>
              </w:rPr>
            </w:pPr>
            <w:r w:rsidRPr="00CE13F3">
              <w:rPr>
                <w:rFonts w:ascii="Arial" w:hAnsi="Arial"/>
                <w:sz w:val="18"/>
              </w:rPr>
              <w:fldChar w:fldCharType="begin">
                <w:ffData>
                  <w:name w:val="Text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33BCD89" w14:textId="77777777" w:rsidR="00CE13F3" w:rsidRPr="00CE13F3" w:rsidRDefault="00CE13F3" w:rsidP="00CE13F3">
            <w:pPr>
              <w:rPr>
                <w:rFonts w:ascii="Arial" w:hAnsi="Arial"/>
                <w:sz w:val="18"/>
              </w:rPr>
            </w:pPr>
            <w:r w:rsidRPr="00CE13F3">
              <w:rPr>
                <w:rFonts w:ascii="Arial" w:hAnsi="Arial"/>
                <w:sz w:val="18"/>
              </w:rPr>
              <w:fldChar w:fldCharType="begin">
                <w:ffData>
                  <w:name w:val="Text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848E985" w14:textId="77777777" w:rsidR="00CE13F3" w:rsidRPr="00CE13F3" w:rsidRDefault="00CE13F3" w:rsidP="00CE13F3">
            <w:pPr>
              <w:rPr>
                <w:rFonts w:ascii="Arial" w:hAnsi="Arial"/>
                <w:sz w:val="18"/>
              </w:rPr>
            </w:pPr>
            <w:r w:rsidRPr="00CE13F3">
              <w:rPr>
                <w:rFonts w:ascii="Arial" w:hAnsi="Arial"/>
                <w:sz w:val="18"/>
              </w:rPr>
              <w:fldChar w:fldCharType="begin">
                <w:ffData>
                  <w:name w:val="Text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0337612" w14:textId="77777777" w:rsidR="00CE13F3" w:rsidRPr="00CE13F3" w:rsidRDefault="00CE13F3" w:rsidP="00CE13F3">
            <w:pPr>
              <w:rPr>
                <w:rFonts w:ascii="Arial" w:hAnsi="Arial"/>
                <w:sz w:val="18"/>
              </w:rPr>
            </w:pPr>
            <w:r w:rsidRPr="00CE13F3">
              <w:rPr>
                <w:rFonts w:ascii="Arial" w:hAnsi="Arial"/>
                <w:sz w:val="18"/>
              </w:rPr>
              <w:fldChar w:fldCharType="begin">
                <w:ffData>
                  <w:name w:val="Text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14579D1" w14:textId="77777777" w:rsidR="00CE13F3" w:rsidRPr="00CE13F3" w:rsidRDefault="00CE13F3" w:rsidP="00CE13F3">
            <w:pPr>
              <w:rPr>
                <w:rFonts w:ascii="Arial" w:hAnsi="Arial"/>
                <w:sz w:val="18"/>
              </w:rPr>
            </w:pPr>
            <w:r w:rsidRPr="00CE13F3">
              <w:rPr>
                <w:rFonts w:ascii="Arial" w:hAnsi="Arial"/>
                <w:sz w:val="18"/>
              </w:rPr>
              <w:fldChar w:fldCharType="begin">
                <w:ffData>
                  <w:name w:val="Text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15F0245" w14:textId="77777777" w:rsidR="00CE13F3" w:rsidRPr="00CE13F3" w:rsidRDefault="00CE13F3" w:rsidP="00CE13F3">
            <w:pPr>
              <w:rPr>
                <w:rFonts w:ascii="Arial" w:hAnsi="Arial"/>
                <w:sz w:val="18"/>
              </w:rPr>
            </w:pPr>
            <w:r w:rsidRPr="00CE13F3">
              <w:rPr>
                <w:rFonts w:ascii="Arial" w:hAnsi="Arial"/>
                <w:sz w:val="18"/>
              </w:rPr>
              <w:fldChar w:fldCharType="begin">
                <w:ffData>
                  <w:name w:val="Text1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4E6E583" w14:textId="77777777" w:rsidR="00CE13F3" w:rsidRPr="00CE13F3" w:rsidRDefault="00CE13F3" w:rsidP="00CE13F3">
            <w:pPr>
              <w:rPr>
                <w:rFonts w:ascii="Arial" w:hAnsi="Arial"/>
                <w:sz w:val="18"/>
              </w:rPr>
            </w:pPr>
            <w:r w:rsidRPr="00CE13F3">
              <w:rPr>
                <w:rFonts w:ascii="Arial" w:hAnsi="Arial"/>
                <w:sz w:val="18"/>
              </w:rPr>
              <w:fldChar w:fldCharType="begin">
                <w:ffData>
                  <w:name w:val="Text1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8FFA143" w14:textId="77777777" w:rsidR="00CE13F3" w:rsidRPr="00CE13F3" w:rsidRDefault="00CE13F3" w:rsidP="00CE13F3">
            <w:pPr>
              <w:rPr>
                <w:rFonts w:ascii="Arial" w:hAnsi="Arial"/>
                <w:sz w:val="18"/>
              </w:rPr>
            </w:pPr>
            <w:r w:rsidRPr="00CE13F3">
              <w:rPr>
                <w:rFonts w:ascii="Arial" w:hAnsi="Arial"/>
                <w:sz w:val="18"/>
              </w:rPr>
              <w:fldChar w:fldCharType="begin">
                <w:ffData>
                  <w:name w:val="Text1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1DA7CE7" w14:textId="77777777" w:rsidR="00CE13F3" w:rsidRPr="00CE13F3" w:rsidRDefault="00CE13F3" w:rsidP="00CE13F3">
            <w:pPr>
              <w:rPr>
                <w:rFonts w:ascii="Arial" w:hAnsi="Arial"/>
                <w:sz w:val="18"/>
              </w:rPr>
            </w:pPr>
            <w:r w:rsidRPr="00CE13F3">
              <w:rPr>
                <w:rFonts w:ascii="Arial" w:hAnsi="Arial"/>
                <w:sz w:val="18"/>
              </w:rPr>
              <w:fldChar w:fldCharType="begin">
                <w:ffData>
                  <w:name w:val="Text1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5F68389" w14:textId="77777777" w:rsidR="00CE13F3" w:rsidRPr="00CE13F3" w:rsidRDefault="00CE13F3" w:rsidP="00CE13F3">
            <w:pPr>
              <w:rPr>
                <w:rFonts w:ascii="Arial" w:hAnsi="Arial"/>
                <w:sz w:val="18"/>
              </w:rPr>
            </w:pPr>
            <w:r w:rsidRPr="00CE13F3">
              <w:rPr>
                <w:rFonts w:ascii="Arial" w:hAnsi="Arial"/>
                <w:sz w:val="18"/>
              </w:rPr>
              <w:fldChar w:fldCharType="begin">
                <w:ffData>
                  <w:name w:val="Text1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D20DB88" w14:textId="77777777" w:rsidR="00CE13F3" w:rsidRPr="00CE13F3" w:rsidRDefault="00CE13F3" w:rsidP="00CE13F3">
            <w:pPr>
              <w:rPr>
                <w:rFonts w:ascii="Arial" w:hAnsi="Arial"/>
                <w:sz w:val="18"/>
              </w:rPr>
            </w:pPr>
            <w:r w:rsidRPr="00CE13F3">
              <w:rPr>
                <w:rFonts w:ascii="Arial" w:hAnsi="Arial"/>
                <w:sz w:val="18"/>
              </w:rPr>
              <w:fldChar w:fldCharType="begin">
                <w:ffData>
                  <w:name w:val="Text1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092FC85" w14:textId="77777777" w:rsidR="00CE13F3" w:rsidRPr="00CE13F3" w:rsidRDefault="00CE13F3" w:rsidP="00CE13F3">
            <w:pPr>
              <w:rPr>
                <w:rFonts w:ascii="Arial" w:hAnsi="Arial"/>
                <w:sz w:val="18"/>
              </w:rPr>
            </w:pPr>
            <w:r w:rsidRPr="00CE13F3">
              <w:rPr>
                <w:rFonts w:ascii="Arial" w:hAnsi="Arial"/>
                <w:sz w:val="18"/>
              </w:rPr>
              <w:fldChar w:fldCharType="begin">
                <w:ffData>
                  <w:name w:val="Text1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1EE6DEE" w14:textId="77777777" w:rsidR="00CE13F3" w:rsidRPr="00CE13F3" w:rsidRDefault="00CE13F3" w:rsidP="00CE13F3">
            <w:pPr>
              <w:rPr>
                <w:rFonts w:ascii="Arial" w:hAnsi="Arial"/>
                <w:sz w:val="18"/>
              </w:rPr>
            </w:pPr>
            <w:r w:rsidRPr="00CE13F3">
              <w:rPr>
                <w:rFonts w:ascii="Arial" w:hAnsi="Arial"/>
                <w:sz w:val="18"/>
              </w:rPr>
              <w:fldChar w:fldCharType="begin">
                <w:ffData>
                  <w:name w:val="Text1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2FC27CA" w14:textId="77777777" w:rsidR="00CE13F3" w:rsidRPr="00CE13F3" w:rsidRDefault="00CE13F3" w:rsidP="00CE13F3">
            <w:pPr>
              <w:rPr>
                <w:rFonts w:ascii="Arial" w:hAnsi="Arial"/>
                <w:sz w:val="18"/>
              </w:rPr>
            </w:pPr>
            <w:r w:rsidRPr="00CE13F3">
              <w:rPr>
                <w:rFonts w:ascii="Arial" w:hAnsi="Arial"/>
                <w:sz w:val="18"/>
              </w:rPr>
              <w:fldChar w:fldCharType="begin">
                <w:ffData>
                  <w:name w:val="Text2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E8F528A" w14:textId="77777777" w:rsidR="00CE13F3" w:rsidRPr="00CE13F3" w:rsidRDefault="00CE13F3" w:rsidP="00CE13F3">
            <w:pPr>
              <w:rPr>
                <w:rFonts w:ascii="Arial" w:hAnsi="Arial"/>
                <w:sz w:val="18"/>
              </w:rPr>
            </w:pPr>
            <w:r w:rsidRPr="00CE13F3">
              <w:rPr>
                <w:rFonts w:ascii="Arial" w:hAnsi="Arial"/>
                <w:sz w:val="18"/>
              </w:rPr>
              <w:fldChar w:fldCharType="begin">
                <w:ffData>
                  <w:name w:val="Text2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3B5E5006" w14:textId="77777777" w:rsidR="00CE13F3" w:rsidRPr="00CE13F3" w:rsidRDefault="00CE13F3" w:rsidP="00CE13F3">
            <w:pPr>
              <w:rPr>
                <w:rFonts w:ascii="Arial" w:hAnsi="Arial"/>
                <w:sz w:val="18"/>
              </w:rPr>
            </w:pPr>
            <w:r w:rsidRPr="00CE13F3">
              <w:rPr>
                <w:rFonts w:ascii="Arial" w:hAnsi="Arial"/>
                <w:sz w:val="18"/>
              </w:rPr>
              <w:fldChar w:fldCharType="begin">
                <w:ffData>
                  <w:name w:val="Text2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C30D27E" w14:textId="77777777" w:rsidR="00CE13F3" w:rsidRPr="00CE13F3" w:rsidRDefault="00CE13F3" w:rsidP="00CE13F3">
            <w:pPr>
              <w:rPr>
                <w:rFonts w:ascii="Arial" w:hAnsi="Arial"/>
                <w:sz w:val="18"/>
              </w:rPr>
            </w:pPr>
            <w:r w:rsidRPr="00CE13F3">
              <w:rPr>
                <w:rFonts w:ascii="Arial" w:hAnsi="Arial"/>
                <w:sz w:val="18"/>
              </w:rPr>
              <w:fldChar w:fldCharType="begin">
                <w:ffData>
                  <w:name w:val="Text2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807FD38" w14:textId="77777777" w:rsidR="00CE13F3" w:rsidRPr="00CE13F3" w:rsidRDefault="00CE13F3" w:rsidP="00CE13F3">
            <w:pPr>
              <w:rPr>
                <w:rFonts w:ascii="Arial" w:hAnsi="Arial"/>
                <w:sz w:val="18"/>
              </w:rPr>
            </w:pPr>
            <w:r w:rsidRPr="00CE13F3">
              <w:rPr>
                <w:rFonts w:ascii="Arial" w:hAnsi="Arial"/>
                <w:sz w:val="18"/>
              </w:rPr>
              <w:fldChar w:fldCharType="begin">
                <w:ffData>
                  <w:name w:val="Text2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58A3832" w14:textId="77777777" w:rsidR="00CE13F3" w:rsidRPr="00CE13F3" w:rsidRDefault="00CE13F3" w:rsidP="00CE13F3">
            <w:pPr>
              <w:rPr>
                <w:rFonts w:ascii="Arial" w:hAnsi="Arial"/>
                <w:sz w:val="18"/>
              </w:rPr>
            </w:pPr>
            <w:r w:rsidRPr="00CE13F3">
              <w:rPr>
                <w:rFonts w:ascii="Arial" w:hAnsi="Arial"/>
                <w:sz w:val="18"/>
              </w:rPr>
              <w:fldChar w:fldCharType="begin">
                <w:ffData>
                  <w:name w:val="Text2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29A8A63" w14:textId="77777777" w:rsidR="00CE13F3" w:rsidRPr="00CE13F3" w:rsidRDefault="00CE13F3" w:rsidP="00CE13F3">
            <w:pPr>
              <w:rPr>
                <w:rFonts w:ascii="Arial" w:hAnsi="Arial"/>
                <w:sz w:val="18"/>
              </w:rPr>
            </w:pPr>
            <w:r w:rsidRPr="00CE13F3">
              <w:rPr>
                <w:rFonts w:ascii="Arial" w:hAnsi="Arial"/>
                <w:sz w:val="18"/>
              </w:rPr>
              <w:fldChar w:fldCharType="begin">
                <w:ffData>
                  <w:name w:val="Text2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DBBE8F5" w14:textId="77777777" w:rsidR="00CE13F3" w:rsidRPr="00CE13F3" w:rsidRDefault="00CE13F3" w:rsidP="00CE13F3">
            <w:pPr>
              <w:rPr>
                <w:rFonts w:ascii="Arial" w:hAnsi="Arial"/>
                <w:sz w:val="18"/>
              </w:rPr>
            </w:pPr>
            <w:r w:rsidRPr="00CE13F3">
              <w:rPr>
                <w:rFonts w:ascii="Arial" w:hAnsi="Arial"/>
                <w:sz w:val="18"/>
              </w:rPr>
              <w:fldChar w:fldCharType="begin">
                <w:ffData>
                  <w:name w:val="Text2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CE4D58C" w14:textId="77777777" w:rsidR="00CE13F3" w:rsidRPr="00CE13F3" w:rsidRDefault="00CE13F3" w:rsidP="00CE13F3">
            <w:pPr>
              <w:rPr>
                <w:rFonts w:ascii="Arial" w:hAnsi="Arial"/>
                <w:sz w:val="18"/>
              </w:rPr>
            </w:pPr>
            <w:r w:rsidRPr="00CE13F3">
              <w:rPr>
                <w:rFonts w:ascii="Arial" w:hAnsi="Arial"/>
                <w:sz w:val="18"/>
              </w:rPr>
              <w:fldChar w:fldCharType="begin">
                <w:ffData>
                  <w:name w:val="Text2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tc>
        <w:tc>
          <w:tcPr>
            <w:tcW w:w="948" w:type="pct"/>
          </w:tcPr>
          <w:p w14:paraId="11E12DD6" w14:textId="77777777" w:rsidR="00CE13F3" w:rsidRPr="00CE13F3" w:rsidRDefault="00CE13F3" w:rsidP="00CE13F3">
            <w:pPr>
              <w:rPr>
                <w:rFonts w:ascii="Arial" w:hAnsi="Arial"/>
                <w:sz w:val="18"/>
              </w:rPr>
            </w:pPr>
            <w:r w:rsidRPr="00CE13F3">
              <w:rPr>
                <w:rFonts w:ascii="Arial" w:hAnsi="Arial"/>
                <w:sz w:val="18"/>
              </w:rPr>
              <w:fldChar w:fldCharType="begin">
                <w:ffData>
                  <w:name w:val="Text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6A81348" w14:textId="77777777" w:rsidR="00CE13F3" w:rsidRPr="00CE13F3" w:rsidRDefault="00CE13F3" w:rsidP="00CE13F3">
            <w:pPr>
              <w:rPr>
                <w:rFonts w:ascii="Arial" w:hAnsi="Arial"/>
                <w:sz w:val="18"/>
              </w:rPr>
            </w:pPr>
            <w:r w:rsidRPr="00CE13F3">
              <w:rPr>
                <w:rFonts w:ascii="Arial" w:hAnsi="Arial"/>
                <w:sz w:val="18"/>
              </w:rPr>
              <w:fldChar w:fldCharType="begin">
                <w:ffData>
                  <w:name w:val="Text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8F86EE5" w14:textId="77777777" w:rsidR="00CE13F3" w:rsidRPr="00CE13F3" w:rsidRDefault="00CE13F3" w:rsidP="00CE13F3">
            <w:pPr>
              <w:rPr>
                <w:rFonts w:ascii="Arial" w:hAnsi="Arial"/>
                <w:sz w:val="18"/>
              </w:rPr>
            </w:pPr>
            <w:r w:rsidRPr="00CE13F3">
              <w:rPr>
                <w:rFonts w:ascii="Arial" w:hAnsi="Arial"/>
                <w:sz w:val="18"/>
              </w:rPr>
              <w:fldChar w:fldCharType="begin">
                <w:ffData>
                  <w:name w:val="Text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DC33ACE" w14:textId="77777777" w:rsidR="00CE13F3" w:rsidRPr="00CE13F3" w:rsidRDefault="00CE13F3" w:rsidP="00CE13F3">
            <w:pPr>
              <w:rPr>
                <w:rFonts w:ascii="Arial" w:hAnsi="Arial"/>
                <w:sz w:val="18"/>
              </w:rPr>
            </w:pPr>
            <w:r w:rsidRPr="00CE13F3">
              <w:rPr>
                <w:rFonts w:ascii="Arial" w:hAnsi="Arial"/>
                <w:sz w:val="18"/>
              </w:rPr>
              <w:fldChar w:fldCharType="begin">
                <w:ffData>
                  <w:name w:val="Text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5B3D529" w14:textId="77777777" w:rsidR="00CE13F3" w:rsidRPr="00CE13F3" w:rsidRDefault="00CE13F3" w:rsidP="00CE13F3">
            <w:pPr>
              <w:rPr>
                <w:rFonts w:ascii="Arial" w:hAnsi="Arial"/>
                <w:sz w:val="18"/>
              </w:rPr>
            </w:pPr>
            <w:r w:rsidRPr="00CE13F3">
              <w:rPr>
                <w:rFonts w:ascii="Arial" w:hAnsi="Arial"/>
                <w:sz w:val="18"/>
              </w:rPr>
              <w:fldChar w:fldCharType="begin">
                <w:ffData>
                  <w:name w:val="Text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F058E7E" w14:textId="77777777" w:rsidR="00CE13F3" w:rsidRPr="00CE13F3" w:rsidRDefault="00CE13F3" w:rsidP="00CE13F3">
            <w:pPr>
              <w:rPr>
                <w:rFonts w:ascii="Arial" w:hAnsi="Arial"/>
                <w:sz w:val="18"/>
              </w:rPr>
            </w:pPr>
            <w:r w:rsidRPr="00CE13F3">
              <w:rPr>
                <w:rFonts w:ascii="Arial" w:hAnsi="Arial"/>
                <w:sz w:val="18"/>
              </w:rPr>
              <w:fldChar w:fldCharType="begin">
                <w:ffData>
                  <w:name w:val="Text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3383058" w14:textId="77777777" w:rsidR="00CE13F3" w:rsidRPr="00CE13F3" w:rsidRDefault="00CE13F3" w:rsidP="00CE13F3">
            <w:pPr>
              <w:rPr>
                <w:rFonts w:ascii="Arial" w:hAnsi="Arial"/>
                <w:sz w:val="18"/>
              </w:rPr>
            </w:pPr>
            <w:r w:rsidRPr="00CE13F3">
              <w:rPr>
                <w:rFonts w:ascii="Arial" w:hAnsi="Arial"/>
                <w:sz w:val="18"/>
              </w:rPr>
              <w:fldChar w:fldCharType="begin">
                <w:ffData>
                  <w:name w:val="Text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DA37F20" w14:textId="77777777" w:rsidR="00CE13F3" w:rsidRPr="00CE13F3" w:rsidRDefault="00CE13F3" w:rsidP="00CE13F3">
            <w:pPr>
              <w:rPr>
                <w:rFonts w:ascii="Arial" w:hAnsi="Arial"/>
                <w:sz w:val="18"/>
              </w:rPr>
            </w:pPr>
            <w:r w:rsidRPr="00CE13F3">
              <w:rPr>
                <w:rFonts w:ascii="Arial" w:hAnsi="Arial"/>
                <w:sz w:val="18"/>
              </w:rPr>
              <w:fldChar w:fldCharType="begin">
                <w:ffData>
                  <w:name w:val="Text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450E2B1" w14:textId="77777777" w:rsidR="00CE13F3" w:rsidRPr="00CE13F3" w:rsidRDefault="00CE13F3" w:rsidP="00CE13F3">
            <w:pPr>
              <w:rPr>
                <w:rFonts w:ascii="Arial" w:hAnsi="Arial"/>
                <w:sz w:val="18"/>
              </w:rPr>
            </w:pPr>
            <w:r w:rsidRPr="00CE13F3">
              <w:rPr>
                <w:rFonts w:ascii="Arial" w:hAnsi="Arial"/>
                <w:sz w:val="18"/>
              </w:rPr>
              <w:fldChar w:fldCharType="begin">
                <w:ffData>
                  <w:name w:val="Text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E1561B7" w14:textId="77777777" w:rsidR="00CE13F3" w:rsidRPr="00CE13F3" w:rsidRDefault="00CE13F3" w:rsidP="00CE13F3">
            <w:pPr>
              <w:rPr>
                <w:rFonts w:ascii="Arial" w:hAnsi="Arial"/>
                <w:sz w:val="18"/>
              </w:rPr>
            </w:pPr>
            <w:r w:rsidRPr="00CE13F3">
              <w:rPr>
                <w:rFonts w:ascii="Arial" w:hAnsi="Arial"/>
                <w:sz w:val="18"/>
              </w:rPr>
              <w:fldChar w:fldCharType="begin">
                <w:ffData>
                  <w:name w:val="Text1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55272EA" w14:textId="77777777" w:rsidR="00CE13F3" w:rsidRPr="00CE13F3" w:rsidRDefault="00CE13F3" w:rsidP="00CE13F3">
            <w:pPr>
              <w:rPr>
                <w:rFonts w:ascii="Arial" w:hAnsi="Arial"/>
                <w:sz w:val="18"/>
              </w:rPr>
            </w:pPr>
            <w:r w:rsidRPr="00CE13F3">
              <w:rPr>
                <w:rFonts w:ascii="Arial" w:hAnsi="Arial"/>
                <w:sz w:val="18"/>
              </w:rPr>
              <w:fldChar w:fldCharType="begin">
                <w:ffData>
                  <w:name w:val="Text1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70F2EC8" w14:textId="77777777" w:rsidR="00CE13F3" w:rsidRPr="00CE13F3" w:rsidRDefault="00CE13F3" w:rsidP="00CE13F3">
            <w:pPr>
              <w:rPr>
                <w:rFonts w:ascii="Arial" w:hAnsi="Arial"/>
                <w:sz w:val="18"/>
              </w:rPr>
            </w:pPr>
            <w:r w:rsidRPr="00CE13F3">
              <w:rPr>
                <w:rFonts w:ascii="Arial" w:hAnsi="Arial"/>
                <w:sz w:val="18"/>
              </w:rPr>
              <w:fldChar w:fldCharType="begin">
                <w:ffData>
                  <w:name w:val="Text1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C829C34" w14:textId="77777777" w:rsidR="00CE13F3" w:rsidRPr="00CE13F3" w:rsidRDefault="00CE13F3" w:rsidP="00CE13F3">
            <w:pPr>
              <w:rPr>
                <w:rFonts w:ascii="Arial" w:hAnsi="Arial"/>
                <w:sz w:val="18"/>
              </w:rPr>
            </w:pPr>
            <w:r w:rsidRPr="00CE13F3">
              <w:rPr>
                <w:rFonts w:ascii="Arial" w:hAnsi="Arial"/>
                <w:sz w:val="18"/>
              </w:rPr>
              <w:fldChar w:fldCharType="begin">
                <w:ffData>
                  <w:name w:val="Text1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9AF3FCC" w14:textId="77777777" w:rsidR="00CE13F3" w:rsidRPr="00CE13F3" w:rsidRDefault="00CE13F3" w:rsidP="00CE13F3">
            <w:pPr>
              <w:rPr>
                <w:rFonts w:ascii="Arial" w:hAnsi="Arial"/>
                <w:sz w:val="18"/>
              </w:rPr>
            </w:pPr>
            <w:r w:rsidRPr="00CE13F3">
              <w:rPr>
                <w:rFonts w:ascii="Arial" w:hAnsi="Arial"/>
                <w:sz w:val="18"/>
              </w:rPr>
              <w:fldChar w:fldCharType="begin">
                <w:ffData>
                  <w:name w:val="Text1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32F44D5" w14:textId="77777777" w:rsidR="00CE13F3" w:rsidRPr="00CE13F3" w:rsidRDefault="00CE13F3" w:rsidP="00CE13F3">
            <w:pPr>
              <w:rPr>
                <w:rFonts w:ascii="Arial" w:hAnsi="Arial"/>
                <w:sz w:val="18"/>
              </w:rPr>
            </w:pPr>
            <w:r w:rsidRPr="00CE13F3">
              <w:rPr>
                <w:rFonts w:ascii="Arial" w:hAnsi="Arial"/>
                <w:sz w:val="18"/>
              </w:rPr>
              <w:fldChar w:fldCharType="begin">
                <w:ffData>
                  <w:name w:val="Text1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7708369" w14:textId="77777777" w:rsidR="00CE13F3" w:rsidRPr="00CE13F3" w:rsidRDefault="00CE13F3" w:rsidP="00CE13F3">
            <w:pPr>
              <w:rPr>
                <w:rFonts w:ascii="Arial" w:hAnsi="Arial"/>
                <w:sz w:val="18"/>
              </w:rPr>
            </w:pPr>
            <w:r w:rsidRPr="00CE13F3">
              <w:rPr>
                <w:rFonts w:ascii="Arial" w:hAnsi="Arial"/>
                <w:sz w:val="18"/>
              </w:rPr>
              <w:fldChar w:fldCharType="begin">
                <w:ffData>
                  <w:name w:val="Text1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26E196E" w14:textId="77777777" w:rsidR="00CE13F3" w:rsidRPr="00CE13F3" w:rsidRDefault="00CE13F3" w:rsidP="00CE13F3">
            <w:pPr>
              <w:rPr>
                <w:rFonts w:ascii="Arial" w:hAnsi="Arial"/>
                <w:sz w:val="18"/>
              </w:rPr>
            </w:pPr>
            <w:r w:rsidRPr="00CE13F3">
              <w:rPr>
                <w:rFonts w:ascii="Arial" w:hAnsi="Arial"/>
                <w:sz w:val="18"/>
              </w:rPr>
              <w:fldChar w:fldCharType="begin">
                <w:ffData>
                  <w:name w:val="Text19"/>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54D252F9" w14:textId="77777777" w:rsidR="00CE13F3" w:rsidRPr="00CE13F3" w:rsidRDefault="00CE13F3" w:rsidP="00CE13F3">
            <w:pPr>
              <w:rPr>
                <w:rFonts w:ascii="Arial" w:hAnsi="Arial"/>
                <w:sz w:val="18"/>
              </w:rPr>
            </w:pPr>
            <w:r w:rsidRPr="00CE13F3">
              <w:rPr>
                <w:rFonts w:ascii="Arial" w:hAnsi="Arial"/>
                <w:sz w:val="18"/>
              </w:rPr>
              <w:fldChar w:fldCharType="begin">
                <w:ffData>
                  <w:name w:val="Text20"/>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3C5F546" w14:textId="77777777" w:rsidR="00CE13F3" w:rsidRPr="00CE13F3" w:rsidRDefault="00CE13F3" w:rsidP="00CE13F3">
            <w:pPr>
              <w:rPr>
                <w:rFonts w:ascii="Arial" w:hAnsi="Arial"/>
                <w:sz w:val="18"/>
              </w:rPr>
            </w:pPr>
            <w:r w:rsidRPr="00CE13F3">
              <w:rPr>
                <w:rFonts w:ascii="Arial" w:hAnsi="Arial"/>
                <w:sz w:val="18"/>
              </w:rPr>
              <w:fldChar w:fldCharType="begin">
                <w:ffData>
                  <w:name w:val="Text21"/>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7C5F4E99" w14:textId="77777777" w:rsidR="00CE13F3" w:rsidRPr="00CE13F3" w:rsidRDefault="00CE13F3" w:rsidP="00CE13F3">
            <w:pPr>
              <w:rPr>
                <w:rFonts w:ascii="Arial" w:hAnsi="Arial"/>
                <w:sz w:val="18"/>
              </w:rPr>
            </w:pPr>
            <w:r w:rsidRPr="00CE13F3">
              <w:rPr>
                <w:rFonts w:ascii="Arial" w:hAnsi="Arial"/>
                <w:sz w:val="18"/>
              </w:rPr>
              <w:fldChar w:fldCharType="begin">
                <w:ffData>
                  <w:name w:val="Text22"/>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6F57516B" w14:textId="77777777" w:rsidR="00CE13F3" w:rsidRPr="00CE13F3" w:rsidRDefault="00CE13F3" w:rsidP="00CE13F3">
            <w:pPr>
              <w:rPr>
                <w:rFonts w:ascii="Arial" w:hAnsi="Arial"/>
                <w:sz w:val="18"/>
              </w:rPr>
            </w:pPr>
            <w:r w:rsidRPr="00CE13F3">
              <w:rPr>
                <w:rFonts w:ascii="Arial" w:hAnsi="Arial"/>
                <w:sz w:val="18"/>
              </w:rPr>
              <w:fldChar w:fldCharType="begin">
                <w:ffData>
                  <w:name w:val="Text23"/>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3DB703C" w14:textId="77777777" w:rsidR="00CE13F3" w:rsidRPr="00CE13F3" w:rsidRDefault="00CE13F3" w:rsidP="00CE13F3">
            <w:pPr>
              <w:rPr>
                <w:rFonts w:ascii="Arial" w:hAnsi="Arial"/>
                <w:sz w:val="18"/>
              </w:rPr>
            </w:pPr>
            <w:r w:rsidRPr="00CE13F3">
              <w:rPr>
                <w:rFonts w:ascii="Arial" w:hAnsi="Arial"/>
                <w:sz w:val="18"/>
              </w:rPr>
              <w:fldChar w:fldCharType="begin">
                <w:ffData>
                  <w:name w:val="Text24"/>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146D52BD" w14:textId="77777777" w:rsidR="00CE13F3" w:rsidRPr="00CE13F3" w:rsidRDefault="00CE13F3" w:rsidP="00CE13F3">
            <w:pPr>
              <w:rPr>
                <w:rFonts w:ascii="Arial" w:hAnsi="Arial"/>
                <w:sz w:val="18"/>
              </w:rPr>
            </w:pPr>
            <w:r w:rsidRPr="00CE13F3">
              <w:rPr>
                <w:rFonts w:ascii="Arial" w:hAnsi="Arial"/>
                <w:sz w:val="18"/>
              </w:rPr>
              <w:fldChar w:fldCharType="begin">
                <w:ffData>
                  <w:name w:val="Text25"/>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410BE531" w14:textId="77777777" w:rsidR="00CE13F3" w:rsidRPr="00CE13F3" w:rsidRDefault="00CE13F3" w:rsidP="00CE13F3">
            <w:pPr>
              <w:rPr>
                <w:rFonts w:ascii="Arial" w:hAnsi="Arial"/>
                <w:sz w:val="18"/>
              </w:rPr>
            </w:pPr>
            <w:r w:rsidRPr="00CE13F3">
              <w:rPr>
                <w:rFonts w:ascii="Arial" w:hAnsi="Arial"/>
                <w:sz w:val="18"/>
              </w:rPr>
              <w:fldChar w:fldCharType="begin">
                <w:ffData>
                  <w:name w:val="Text26"/>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00645C0D" w14:textId="77777777" w:rsidR="00CE13F3" w:rsidRPr="00CE13F3" w:rsidRDefault="00CE13F3" w:rsidP="00CE13F3">
            <w:pPr>
              <w:rPr>
                <w:rFonts w:ascii="Arial" w:hAnsi="Arial"/>
                <w:sz w:val="18"/>
              </w:rPr>
            </w:pPr>
            <w:r w:rsidRPr="00CE13F3">
              <w:rPr>
                <w:rFonts w:ascii="Arial" w:hAnsi="Arial"/>
                <w:sz w:val="18"/>
              </w:rPr>
              <w:fldChar w:fldCharType="begin">
                <w:ffData>
                  <w:name w:val="Text27"/>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p w14:paraId="252C0AA2" w14:textId="77777777" w:rsidR="00CE13F3" w:rsidRPr="00CE13F3" w:rsidRDefault="00CE13F3" w:rsidP="00CE13F3">
            <w:pPr>
              <w:rPr>
                <w:rFonts w:ascii="Arial" w:hAnsi="Arial"/>
                <w:sz w:val="18"/>
              </w:rPr>
            </w:pPr>
            <w:r w:rsidRPr="00CE13F3">
              <w:rPr>
                <w:rFonts w:ascii="Arial" w:hAnsi="Arial"/>
                <w:sz w:val="18"/>
              </w:rPr>
              <w:fldChar w:fldCharType="begin">
                <w:ffData>
                  <w:name w:val="Text28"/>
                  <w:enabled/>
                  <w:calcOnExit w:val="0"/>
                  <w:textInput/>
                </w:ffData>
              </w:fldChar>
            </w:r>
            <w:r w:rsidRPr="00CE13F3">
              <w:rPr>
                <w:rFonts w:ascii="Arial" w:hAnsi="Arial"/>
                <w:sz w:val="18"/>
              </w:rPr>
              <w:instrText xml:space="preserve"> FORMTEXT </w:instrText>
            </w:r>
            <w:r w:rsidRPr="00CE13F3">
              <w:rPr>
                <w:rFonts w:ascii="Arial" w:hAnsi="Arial"/>
                <w:sz w:val="18"/>
              </w:rPr>
            </w:r>
            <w:r w:rsidRPr="00CE13F3">
              <w:rPr>
                <w:rFonts w:ascii="Arial" w:hAnsi="Arial"/>
                <w:sz w:val="18"/>
              </w:rPr>
              <w:fldChar w:fldCharType="separate"/>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noProof/>
                <w:sz w:val="18"/>
              </w:rPr>
              <w:t> </w:t>
            </w:r>
            <w:r w:rsidRPr="00CE13F3">
              <w:rPr>
                <w:rFonts w:ascii="Arial" w:hAnsi="Arial"/>
                <w:sz w:val="18"/>
              </w:rPr>
              <w:fldChar w:fldCharType="end"/>
            </w:r>
          </w:p>
        </w:tc>
      </w:tr>
    </w:tbl>
    <w:p w14:paraId="2023C559" w14:textId="77777777" w:rsidR="00020BC0" w:rsidRPr="00020BC0" w:rsidRDefault="005F58B0" w:rsidP="00020BC0">
      <w:pPr>
        <w:snapToGrid w:val="0"/>
        <w:spacing w:before="120"/>
        <w:ind w:left="284" w:hanging="284"/>
        <w:jc w:val="both"/>
        <w:rPr>
          <w:rFonts w:ascii="Arial" w:hAnsi="Arial" w:cs="Arial"/>
          <w:b/>
          <w:sz w:val="16"/>
          <w:szCs w:val="16"/>
        </w:rPr>
      </w:pPr>
      <w:r w:rsidRPr="005F58B0">
        <w:rPr>
          <w:rFonts w:ascii="Arial" w:hAnsi="Arial" w:cs="Arial"/>
          <w:b/>
          <w:sz w:val="16"/>
          <w:szCs w:val="16"/>
          <w:u w:val="single"/>
        </w:rPr>
        <w:t>Ausfüllhinweise:</w:t>
      </w:r>
      <w:r w:rsidR="00020BC0">
        <w:rPr>
          <w:rFonts w:ascii="Arial" w:hAnsi="Arial" w:cs="Arial"/>
          <w:b/>
          <w:sz w:val="16"/>
          <w:szCs w:val="16"/>
        </w:rPr>
        <w:t xml:space="preserve"> </w:t>
      </w:r>
      <w:r>
        <w:rPr>
          <w:rFonts w:ascii="Arial" w:hAnsi="Arial" w:cs="Arial"/>
          <w:b/>
          <w:sz w:val="16"/>
          <w:szCs w:val="16"/>
        </w:rPr>
        <w:t xml:space="preserve"> </w:t>
      </w:r>
      <w:r w:rsidR="00020BC0" w:rsidRPr="00020BC0">
        <w:rPr>
          <w:rFonts w:ascii="Arial" w:hAnsi="Arial" w:cs="Arial"/>
          <w:sz w:val="16"/>
          <w:szCs w:val="16"/>
        </w:rPr>
        <w:t>Der Auftraggeber setzt für die im „Verzeichnis für Stoffpreisgleitklausel“ aufgeführten Stoffe fest:</w:t>
      </w:r>
    </w:p>
    <w:p w14:paraId="1756B14A" w14:textId="77777777" w:rsidR="00020BC0" w:rsidRPr="00020BC0" w:rsidRDefault="00020BC0" w:rsidP="00020BC0">
      <w:pPr>
        <w:pStyle w:val="Block"/>
        <w:numPr>
          <w:ilvl w:val="0"/>
          <w:numId w:val="0"/>
        </w:numPr>
        <w:spacing w:after="0"/>
        <w:ind w:left="142" w:hanging="142"/>
        <w:rPr>
          <w:sz w:val="16"/>
          <w:szCs w:val="16"/>
        </w:rPr>
      </w:pPr>
      <w:r w:rsidRPr="00020BC0">
        <w:rPr>
          <w:rFonts w:cs="Arial"/>
          <w:sz w:val="16"/>
          <w:szCs w:val="16"/>
        </w:rPr>
        <w:t>- einen Basiswert 1</w:t>
      </w:r>
      <w:r w:rsidRPr="00020BC0">
        <w:rPr>
          <w:sz w:val="16"/>
          <w:szCs w:val="16"/>
        </w:rPr>
        <w:t xml:space="preserve"> zum Zeitpunkt der Versendung der Vergabeunterlagen (Monat/Jahr) als Nettopreis der der Abrechnung zugrunde liegenden Abrechnungseinheit (z.B.  €/t, €/</w:t>
      </w:r>
      <w:proofErr w:type="spellStart"/>
      <w:r w:rsidRPr="00020BC0">
        <w:rPr>
          <w:sz w:val="16"/>
          <w:szCs w:val="16"/>
        </w:rPr>
        <w:t>ltr</w:t>
      </w:r>
      <w:proofErr w:type="spellEnd"/>
      <w:r w:rsidRPr="00020BC0">
        <w:rPr>
          <w:sz w:val="16"/>
          <w:szCs w:val="16"/>
        </w:rPr>
        <w:t>.),</w:t>
      </w:r>
    </w:p>
    <w:p w14:paraId="73DC2212" w14:textId="77777777" w:rsidR="00020BC0" w:rsidRPr="00020BC0" w:rsidRDefault="00020BC0" w:rsidP="00020BC0">
      <w:pPr>
        <w:pStyle w:val="Block"/>
        <w:numPr>
          <w:ilvl w:val="0"/>
          <w:numId w:val="0"/>
        </w:numPr>
        <w:spacing w:after="0"/>
        <w:ind w:left="142"/>
        <w:rPr>
          <w:sz w:val="16"/>
          <w:szCs w:val="16"/>
        </w:rPr>
      </w:pPr>
      <w:r w:rsidRPr="00020BC0">
        <w:rPr>
          <w:sz w:val="16"/>
          <w:szCs w:val="16"/>
        </w:rPr>
        <w:t>- die GP-Nummer,</w:t>
      </w:r>
    </w:p>
    <w:p w14:paraId="5F140399" w14:textId="77777777" w:rsidR="00020BC0" w:rsidRPr="00020BC0" w:rsidRDefault="00020BC0" w:rsidP="00020BC0">
      <w:pPr>
        <w:pStyle w:val="Block"/>
        <w:numPr>
          <w:ilvl w:val="0"/>
          <w:numId w:val="0"/>
        </w:numPr>
        <w:spacing w:after="0"/>
        <w:ind w:left="142"/>
        <w:rPr>
          <w:sz w:val="16"/>
          <w:szCs w:val="16"/>
        </w:rPr>
      </w:pPr>
      <w:r w:rsidRPr="00020BC0">
        <w:rPr>
          <w:sz w:val="16"/>
          <w:szCs w:val="16"/>
        </w:rPr>
        <w:t xml:space="preserve">- für Betriebsstoffe: die Abrechnungseinheit (z.B. Verbrauch in </w:t>
      </w:r>
      <w:proofErr w:type="spellStart"/>
      <w:r w:rsidRPr="00020BC0">
        <w:rPr>
          <w:sz w:val="16"/>
          <w:szCs w:val="16"/>
        </w:rPr>
        <w:t>ltr</w:t>
      </w:r>
      <w:proofErr w:type="spellEnd"/>
      <w:r w:rsidRPr="00020BC0">
        <w:rPr>
          <w:sz w:val="16"/>
          <w:szCs w:val="16"/>
        </w:rPr>
        <w:t>/m³),</w:t>
      </w:r>
    </w:p>
    <w:p w14:paraId="1DDAF68D" w14:textId="77777777" w:rsidR="00020BC0" w:rsidRPr="00020BC0" w:rsidRDefault="00020BC0" w:rsidP="00020BC0">
      <w:pPr>
        <w:pStyle w:val="Block"/>
        <w:numPr>
          <w:ilvl w:val="0"/>
          <w:numId w:val="0"/>
        </w:numPr>
        <w:ind w:left="142"/>
        <w:rPr>
          <w:sz w:val="16"/>
          <w:szCs w:val="16"/>
        </w:rPr>
      </w:pPr>
      <w:r w:rsidRPr="00020BC0">
        <w:rPr>
          <w:sz w:val="16"/>
          <w:szCs w:val="16"/>
        </w:rPr>
        <w:t>- den Abrechnungszeitpunkt.</w:t>
      </w:r>
    </w:p>
    <w:p w14:paraId="74313D43" w14:textId="4DC74850" w:rsidR="00020BC0" w:rsidRPr="00020BC0" w:rsidRDefault="00020BC0" w:rsidP="00020BC0">
      <w:pPr>
        <w:pStyle w:val="Block"/>
        <w:numPr>
          <w:ilvl w:val="0"/>
          <w:numId w:val="0"/>
        </w:numPr>
        <w:rPr>
          <w:sz w:val="16"/>
          <w:szCs w:val="16"/>
        </w:rPr>
      </w:pPr>
      <w:r w:rsidRPr="00A81B63">
        <w:rPr>
          <w:sz w:val="16"/>
          <w:szCs w:val="16"/>
        </w:rPr>
        <w:t xml:space="preserve">Der </w:t>
      </w:r>
      <w:r w:rsidRPr="00A81B63">
        <w:rPr>
          <w:b/>
          <w:sz w:val="16"/>
          <w:szCs w:val="16"/>
        </w:rPr>
        <w:t>Basiswert 1</w:t>
      </w:r>
      <w:r w:rsidRPr="00A81B63">
        <w:rPr>
          <w:sz w:val="16"/>
          <w:szCs w:val="16"/>
        </w:rPr>
        <w:t xml:space="preserve"> ist festzulegen zum Zeitpunkt des Versandes der Vergabeunterlagen</w:t>
      </w:r>
      <w:r w:rsidR="00A81B63" w:rsidRPr="00A81B63">
        <w:rPr>
          <w:sz w:val="16"/>
          <w:szCs w:val="16"/>
        </w:rPr>
        <w:t xml:space="preserve">. Dieser ist möglichst objektiv und marktadäquat  zu ermitteln. Vorzugsweise an Hand eines objektiven statistisch ermittelten Wertes, alternativ </w:t>
      </w:r>
      <w:r w:rsidRPr="00A81B63">
        <w:rPr>
          <w:sz w:val="16"/>
          <w:szCs w:val="16"/>
        </w:rPr>
        <w:t>aus dem arithmetischen Mittel der Angaben von mindestens drei einschlägigen Lieferanten. Bei Stahl ist der Basiswert 1 der Grundpreis zuzüglich ggf. des Abmessungsaufpreises, des Güteaufpreises und des Schrottzuschlags, jedoch ohne etwaige Lieferanten- und Transportzuschläge.</w:t>
      </w:r>
    </w:p>
    <w:p w14:paraId="20081C77" w14:textId="77777777" w:rsidR="00020BC0" w:rsidRPr="00020BC0" w:rsidRDefault="00020BC0" w:rsidP="00020BC0">
      <w:pPr>
        <w:pStyle w:val="Block"/>
        <w:numPr>
          <w:ilvl w:val="0"/>
          <w:numId w:val="0"/>
        </w:numPr>
        <w:spacing w:after="0"/>
        <w:rPr>
          <w:sz w:val="16"/>
          <w:szCs w:val="16"/>
        </w:rPr>
      </w:pPr>
      <w:r w:rsidRPr="00020BC0">
        <w:rPr>
          <w:sz w:val="16"/>
          <w:szCs w:val="16"/>
        </w:rPr>
        <w:t xml:space="preserve">Der </w:t>
      </w:r>
      <w:r w:rsidRPr="00020BC0">
        <w:rPr>
          <w:b/>
          <w:sz w:val="16"/>
          <w:szCs w:val="16"/>
        </w:rPr>
        <w:t>Abrechnungszeitpunkt</w:t>
      </w:r>
      <w:r w:rsidRPr="00020BC0">
        <w:rPr>
          <w:sz w:val="16"/>
          <w:szCs w:val="16"/>
        </w:rPr>
        <w:t xml:space="preserve"> ist nicht als Datum, sondern in Worten zu bestimmen als </w:t>
      </w:r>
    </w:p>
    <w:p w14:paraId="7238D513" w14:textId="77777777" w:rsidR="00020BC0" w:rsidRPr="00F730CC" w:rsidRDefault="00020BC0" w:rsidP="00020BC0">
      <w:pPr>
        <w:tabs>
          <w:tab w:val="left" w:pos="1276"/>
          <w:tab w:val="left" w:pos="1843"/>
        </w:tabs>
        <w:jc w:val="both"/>
        <w:rPr>
          <w:rFonts w:ascii="Arial" w:hAnsi="Arial"/>
          <w:sz w:val="16"/>
          <w:szCs w:val="16"/>
        </w:rPr>
      </w:pPr>
      <w:r w:rsidRPr="00F730CC">
        <w:rPr>
          <w:rFonts w:ascii="Arial" w:hAnsi="Arial"/>
          <w:sz w:val="16"/>
          <w:szCs w:val="16"/>
        </w:rPr>
        <w:t>Einbau</w:t>
      </w:r>
      <w:r w:rsidRPr="00F730CC">
        <w:rPr>
          <w:rFonts w:ascii="Arial" w:hAnsi="Arial"/>
          <w:sz w:val="16"/>
          <w:szCs w:val="16"/>
        </w:rPr>
        <w:tab/>
        <w:t>=</w:t>
      </w:r>
      <w:r w:rsidRPr="00F730CC">
        <w:rPr>
          <w:rFonts w:ascii="Arial" w:hAnsi="Arial"/>
          <w:sz w:val="16"/>
          <w:szCs w:val="16"/>
        </w:rPr>
        <w:tab/>
        <w:t>Stoff ist mit dem Grundstück (Baugrund) fest verbunden worden.</w:t>
      </w:r>
    </w:p>
    <w:p w14:paraId="09531D90" w14:textId="77777777" w:rsidR="00020BC0" w:rsidRPr="00F730CC" w:rsidRDefault="00020BC0" w:rsidP="00020BC0">
      <w:pPr>
        <w:tabs>
          <w:tab w:val="left" w:pos="1276"/>
          <w:tab w:val="left" w:pos="1843"/>
        </w:tabs>
        <w:jc w:val="both"/>
        <w:rPr>
          <w:rFonts w:ascii="Arial" w:hAnsi="Arial"/>
          <w:sz w:val="16"/>
          <w:szCs w:val="16"/>
        </w:rPr>
      </w:pPr>
      <w:r w:rsidRPr="00F730CC">
        <w:rPr>
          <w:rFonts w:ascii="Arial" w:hAnsi="Arial"/>
          <w:sz w:val="16"/>
          <w:szCs w:val="16"/>
        </w:rPr>
        <w:t>Lieferung</w:t>
      </w:r>
      <w:r w:rsidRPr="00F730CC">
        <w:rPr>
          <w:rFonts w:ascii="Arial" w:hAnsi="Arial"/>
          <w:sz w:val="16"/>
          <w:szCs w:val="16"/>
        </w:rPr>
        <w:tab/>
        <w:t>=</w:t>
      </w:r>
      <w:r w:rsidRPr="00F730CC">
        <w:rPr>
          <w:rFonts w:ascii="Arial" w:hAnsi="Arial"/>
          <w:sz w:val="16"/>
          <w:szCs w:val="16"/>
        </w:rPr>
        <w:tab/>
        <w:t>Stoff ist auf der Baustelle angeliefert worden.</w:t>
      </w:r>
    </w:p>
    <w:p w14:paraId="54A1C0E7" w14:textId="77777777" w:rsidR="00020BC0" w:rsidRDefault="00020BC0" w:rsidP="00020BC0">
      <w:pPr>
        <w:tabs>
          <w:tab w:val="left" w:pos="1276"/>
          <w:tab w:val="left" w:pos="1843"/>
        </w:tabs>
        <w:jc w:val="both"/>
        <w:rPr>
          <w:rFonts w:ascii="Arial" w:hAnsi="Arial"/>
          <w:sz w:val="16"/>
          <w:szCs w:val="16"/>
        </w:rPr>
      </w:pPr>
      <w:r w:rsidRPr="00F730CC">
        <w:rPr>
          <w:rFonts w:ascii="Arial" w:hAnsi="Arial"/>
          <w:sz w:val="16"/>
          <w:szCs w:val="16"/>
        </w:rPr>
        <w:t>Verwendung</w:t>
      </w:r>
      <w:r w:rsidRPr="00F730CC">
        <w:rPr>
          <w:rFonts w:ascii="Arial" w:hAnsi="Arial"/>
          <w:sz w:val="16"/>
          <w:szCs w:val="16"/>
        </w:rPr>
        <w:tab/>
        <w:t>=</w:t>
      </w:r>
      <w:r w:rsidRPr="00F730CC">
        <w:rPr>
          <w:rFonts w:ascii="Arial" w:hAnsi="Arial"/>
          <w:sz w:val="16"/>
          <w:szCs w:val="16"/>
        </w:rPr>
        <w:tab/>
        <w:t xml:space="preserve">Stoff ist unabhängig von den Begrifflichkeiten des BGB bei der Herstellung einer </w:t>
      </w:r>
      <w:r w:rsidRPr="00F730CC">
        <w:rPr>
          <w:rFonts w:ascii="Arial" w:hAnsi="Arial"/>
          <w:sz w:val="16"/>
          <w:szCs w:val="16"/>
        </w:rPr>
        <w:tab/>
        <w:t xml:space="preserve">beweglichen </w:t>
      </w:r>
      <w:r>
        <w:rPr>
          <w:rFonts w:ascii="Arial" w:hAnsi="Arial"/>
          <w:sz w:val="16"/>
          <w:szCs w:val="16"/>
        </w:rPr>
        <w:t xml:space="preserve">Sache, </w:t>
      </w:r>
    </w:p>
    <w:p w14:paraId="5C724278" w14:textId="77777777" w:rsidR="00020BC0" w:rsidRDefault="00020BC0" w:rsidP="00020BC0">
      <w:pPr>
        <w:tabs>
          <w:tab w:val="left" w:pos="1276"/>
          <w:tab w:val="left" w:pos="1843"/>
        </w:tabs>
        <w:jc w:val="both"/>
        <w:rPr>
          <w:rFonts w:ascii="Arial" w:hAnsi="Arial"/>
          <w:sz w:val="16"/>
          <w:szCs w:val="16"/>
        </w:rPr>
      </w:pPr>
      <w:r w:rsidRPr="00F730CC">
        <w:rPr>
          <w:rFonts w:ascii="Arial" w:hAnsi="Arial"/>
          <w:sz w:val="16"/>
          <w:szCs w:val="16"/>
        </w:rPr>
        <w:tab/>
      </w:r>
      <w:r w:rsidRPr="00F730CC">
        <w:rPr>
          <w:rFonts w:ascii="Arial" w:hAnsi="Arial"/>
          <w:sz w:val="16"/>
          <w:szCs w:val="16"/>
        </w:rPr>
        <w:tab/>
        <w:t xml:space="preserve">die nicht mit dem Grundstück (Baugrund) fest verbunden ist, so </w:t>
      </w:r>
      <w:r w:rsidRPr="00F730CC">
        <w:rPr>
          <w:rFonts w:ascii="Arial" w:hAnsi="Arial"/>
          <w:sz w:val="16"/>
          <w:szCs w:val="16"/>
        </w:rPr>
        <w:tab/>
        <w:t>eingesetzt worden,</w:t>
      </w:r>
      <w:r>
        <w:rPr>
          <w:rFonts w:ascii="Arial" w:hAnsi="Arial"/>
          <w:sz w:val="16"/>
          <w:szCs w:val="16"/>
        </w:rPr>
        <w:t xml:space="preserve"> </w:t>
      </w:r>
      <w:r w:rsidRPr="00F730CC">
        <w:rPr>
          <w:rFonts w:ascii="Arial" w:hAnsi="Arial"/>
          <w:sz w:val="16"/>
          <w:szCs w:val="16"/>
        </w:rPr>
        <w:t xml:space="preserve">dass er seine bisherige </w:t>
      </w:r>
    </w:p>
    <w:p w14:paraId="266CECA8" w14:textId="76FF5AE2" w:rsidR="00020BC0" w:rsidRDefault="00634FDB" w:rsidP="00020BC0">
      <w:pPr>
        <w:tabs>
          <w:tab w:val="left" w:pos="1276"/>
          <w:tab w:val="left" w:pos="1843"/>
        </w:tabs>
        <w:jc w:val="both"/>
        <w:rPr>
          <w:rFonts w:ascii="Arial" w:hAnsi="Arial"/>
          <w:sz w:val="16"/>
          <w:szCs w:val="16"/>
        </w:rPr>
      </w:pPr>
      <w:r>
        <w:rPr>
          <w:rFonts w:ascii="Arial" w:hAnsi="Arial"/>
          <w:sz w:val="16"/>
          <w:szCs w:val="16"/>
        </w:rPr>
        <w:tab/>
      </w:r>
      <w:r>
        <w:rPr>
          <w:rFonts w:ascii="Arial" w:hAnsi="Arial"/>
          <w:sz w:val="16"/>
          <w:szCs w:val="16"/>
        </w:rPr>
        <w:tab/>
      </w:r>
      <w:r w:rsidR="00020BC0" w:rsidRPr="00F730CC">
        <w:rPr>
          <w:rFonts w:ascii="Arial" w:hAnsi="Arial"/>
          <w:sz w:val="16"/>
          <w:szCs w:val="16"/>
        </w:rPr>
        <w:t xml:space="preserve">Eigenständigkeit verloren hat </w:t>
      </w:r>
      <w:r w:rsidR="00020BC0" w:rsidRPr="00F730CC">
        <w:rPr>
          <w:rFonts w:ascii="Arial" w:hAnsi="Arial"/>
          <w:sz w:val="16"/>
          <w:szCs w:val="16"/>
          <w:u w:val="single"/>
        </w:rPr>
        <w:t>oder</w:t>
      </w:r>
      <w:r w:rsidR="00020BC0" w:rsidRPr="00F730CC">
        <w:rPr>
          <w:rFonts w:ascii="Arial" w:hAnsi="Arial"/>
          <w:sz w:val="16"/>
          <w:szCs w:val="16"/>
        </w:rPr>
        <w:t xml:space="preserve"> </w:t>
      </w:r>
    </w:p>
    <w:p w14:paraId="3BBFB48F" w14:textId="1101A758" w:rsidR="00020BC0" w:rsidRPr="00634FDB" w:rsidRDefault="00634FDB" w:rsidP="00634FDB">
      <w:pPr>
        <w:tabs>
          <w:tab w:val="left" w:pos="1276"/>
          <w:tab w:val="left" w:pos="1843"/>
        </w:tabs>
        <w:jc w:val="both"/>
        <w:rPr>
          <w:rFonts w:ascii="Arial" w:hAnsi="Arial"/>
          <w:sz w:val="16"/>
          <w:szCs w:val="16"/>
        </w:rPr>
        <w:sectPr w:rsidR="00020BC0" w:rsidRPr="00634FDB" w:rsidSect="001D5AD5">
          <w:headerReference w:type="even" r:id="rId10"/>
          <w:headerReference w:type="default" r:id="rId11"/>
          <w:footerReference w:type="default" r:id="rId12"/>
          <w:pgSz w:w="11907" w:h="16840" w:code="9"/>
          <w:pgMar w:top="851" w:right="1134" w:bottom="1418" w:left="1134" w:header="284" w:footer="964" w:gutter="0"/>
          <w:cols w:space="720"/>
        </w:sectPr>
      </w:pPr>
      <w:r>
        <w:rPr>
          <w:rFonts w:ascii="Arial" w:hAnsi="Arial"/>
          <w:sz w:val="16"/>
          <w:szCs w:val="16"/>
        </w:rPr>
        <w:tab/>
      </w:r>
      <w:r>
        <w:rPr>
          <w:rFonts w:ascii="Arial" w:hAnsi="Arial"/>
          <w:sz w:val="16"/>
          <w:szCs w:val="16"/>
        </w:rPr>
        <w:tab/>
      </w:r>
      <w:r w:rsidR="00020BC0" w:rsidRPr="00F730CC">
        <w:rPr>
          <w:rFonts w:ascii="Arial" w:hAnsi="Arial"/>
          <w:sz w:val="16"/>
          <w:szCs w:val="16"/>
        </w:rPr>
        <w:t>der Stoff ist bei der Leistungserbringung als Betriebsstoff verbraucht worden.</w:t>
      </w:r>
    </w:p>
    <w:p w14:paraId="447EAF63" w14:textId="77777777" w:rsidR="00F730CC" w:rsidRPr="00020BC0" w:rsidRDefault="00F730CC" w:rsidP="00634FDB">
      <w:pPr>
        <w:pStyle w:val="berschrift"/>
        <w:numPr>
          <w:ilvl w:val="0"/>
          <w:numId w:val="0"/>
        </w:numPr>
        <w:ind w:left="425" w:hanging="425"/>
        <w:rPr>
          <w:sz w:val="22"/>
          <w:szCs w:val="22"/>
        </w:rPr>
      </w:pPr>
      <w:r w:rsidRPr="00020BC0">
        <w:rPr>
          <w:sz w:val="22"/>
          <w:szCs w:val="22"/>
        </w:rPr>
        <w:lastRenderedPageBreak/>
        <w:t>Vertragsbedingungen Stoffpreisgleitklause</w:t>
      </w:r>
      <w:r w:rsidR="00020BC0" w:rsidRPr="00020BC0">
        <w:rPr>
          <w:sz w:val="22"/>
          <w:szCs w:val="22"/>
        </w:rPr>
        <w:t>l</w:t>
      </w:r>
    </w:p>
    <w:p w14:paraId="4B1B2FD9" w14:textId="77777777" w:rsidR="00D2292E" w:rsidRPr="00F730CC" w:rsidRDefault="00CE13F3" w:rsidP="005D68D6">
      <w:pPr>
        <w:pStyle w:val="berschrift"/>
        <w:numPr>
          <w:ilvl w:val="0"/>
          <w:numId w:val="0"/>
        </w:numPr>
        <w:spacing w:before="60"/>
        <w:ind w:left="425" w:hanging="425"/>
        <w:rPr>
          <w:b w:val="0"/>
          <w:strike/>
          <w:szCs w:val="18"/>
        </w:rPr>
      </w:pPr>
      <w:r w:rsidRPr="00F730CC">
        <w:rPr>
          <w:b w:val="0"/>
        </w:rPr>
        <w:t>Di</w:t>
      </w:r>
      <w:r w:rsidR="00020BC0">
        <w:rPr>
          <w:b w:val="0"/>
        </w:rPr>
        <w:t>e</w:t>
      </w:r>
      <w:r w:rsidR="00D2292E" w:rsidRPr="00F730CC">
        <w:rPr>
          <w:b w:val="0"/>
        </w:rPr>
        <w:t xml:space="preserve"> Vereinbarung einer Stoffpreisgleitk</w:t>
      </w:r>
      <w:r w:rsidRPr="00F730CC">
        <w:rPr>
          <w:b w:val="0"/>
        </w:rPr>
        <w:t xml:space="preserve">lausel gilt nur, wenn </w:t>
      </w:r>
    </w:p>
    <w:p w14:paraId="6D076B3A" w14:textId="47962869" w:rsidR="00D2292E" w:rsidRDefault="00D2292E" w:rsidP="00F730CC">
      <w:pPr>
        <w:pStyle w:val="Blocktext"/>
        <w:spacing w:after="0"/>
        <w:ind w:left="0"/>
      </w:pPr>
      <w:r w:rsidRPr="00020BC0">
        <w:t xml:space="preserve">- in </w:t>
      </w:r>
      <w:r w:rsidR="00364B73">
        <w:t xml:space="preserve">Nr. </w:t>
      </w:r>
      <w:r w:rsidR="0052042D">
        <w:t>10.3</w:t>
      </w:r>
      <w:r w:rsidR="00020BC0" w:rsidRPr="00020BC0">
        <w:t xml:space="preserve"> der</w:t>
      </w:r>
      <w:r w:rsidRPr="00020BC0">
        <w:t xml:space="preserve"> Besonderen Vertragsbedingungen (BVB) </w:t>
      </w:r>
      <w:r>
        <w:t xml:space="preserve">eine </w:t>
      </w:r>
      <w:proofErr w:type="spellStart"/>
      <w:r>
        <w:t>Preisgleitung</w:t>
      </w:r>
      <w:proofErr w:type="spellEnd"/>
      <w:r w:rsidR="00CE13F3" w:rsidRPr="00424DAD">
        <w:t xml:space="preserve"> vereinbart ist und </w:t>
      </w:r>
    </w:p>
    <w:p w14:paraId="50A97047" w14:textId="77777777" w:rsidR="00CE13F3" w:rsidRPr="00020BC0" w:rsidRDefault="00AA66AE" w:rsidP="00F730CC">
      <w:pPr>
        <w:pStyle w:val="Blocktext"/>
        <w:spacing w:after="0"/>
        <w:ind w:left="0"/>
        <w:rPr>
          <w:strike/>
        </w:rPr>
      </w:pPr>
      <w:r>
        <w:t xml:space="preserve">- </w:t>
      </w:r>
      <w:r w:rsidR="00CE13F3" w:rsidRPr="00424DAD">
        <w:t xml:space="preserve">nur für die Stoffe, </w:t>
      </w:r>
      <w:r w:rsidR="00CE13F3" w:rsidRPr="00020BC0">
        <w:t xml:space="preserve">die im </w:t>
      </w:r>
      <w:r w:rsidR="00580363" w:rsidRPr="00020BC0">
        <w:t xml:space="preserve">vorstehenden </w:t>
      </w:r>
      <w:r w:rsidR="00CE13F3" w:rsidRPr="00020BC0">
        <w:t>„Verzeichnis für Stoffpreisgleitklausel“ genannt sind.</w:t>
      </w:r>
    </w:p>
    <w:p w14:paraId="0F453654" w14:textId="77777777" w:rsidR="00CE13F3" w:rsidRDefault="00761D8E" w:rsidP="00F730CC">
      <w:pPr>
        <w:pStyle w:val="Blocktext"/>
        <w:spacing w:before="60" w:after="0"/>
        <w:ind w:left="0"/>
      </w:pPr>
      <w:r>
        <w:t>D</w:t>
      </w:r>
      <w:r w:rsidR="00AA66AE">
        <w:t>ie</w:t>
      </w:r>
      <w:r w:rsidRPr="00761D8E">
        <w:t xml:space="preserve"> </w:t>
      </w:r>
      <w:r>
        <w:t>Stoffpreisgleitk</w:t>
      </w:r>
      <w:r w:rsidRPr="00424DAD">
        <w:t>lausel</w:t>
      </w:r>
      <w:r w:rsidR="00AA66AE">
        <w:t xml:space="preserve"> gilt auch </w:t>
      </w:r>
      <w:r w:rsidR="00CE13F3" w:rsidRPr="00424DAD">
        <w:t>für die Abrechnung von Nachträgen.</w:t>
      </w:r>
      <w:r w:rsidR="00F31623">
        <w:t xml:space="preserve"> Mehr- oder Minderaufwendungen können bereits bei Abschlagszahlungen geltend gemacht werden.</w:t>
      </w:r>
    </w:p>
    <w:p w14:paraId="6D41E285" w14:textId="2865336D" w:rsidR="00F730CC" w:rsidRDefault="00F31623" w:rsidP="00020BC0">
      <w:pPr>
        <w:pStyle w:val="Blocktext"/>
        <w:spacing w:before="60" w:after="0"/>
        <w:ind w:left="0"/>
        <w:rPr>
          <w:szCs w:val="22"/>
        </w:rPr>
      </w:pPr>
      <w:r w:rsidRPr="007621F6">
        <w:rPr>
          <w:szCs w:val="22"/>
        </w:rPr>
        <w:t xml:space="preserve">Die Vergabestelle </w:t>
      </w:r>
      <w:r>
        <w:rPr>
          <w:szCs w:val="22"/>
        </w:rPr>
        <w:t xml:space="preserve">entscheidet </w:t>
      </w:r>
      <w:r w:rsidRPr="007621F6">
        <w:rPr>
          <w:szCs w:val="22"/>
        </w:rPr>
        <w:t xml:space="preserve">unter Beachtung der </w:t>
      </w:r>
      <w:r w:rsidRPr="007621F6">
        <w:t>„</w:t>
      </w:r>
      <w:r w:rsidRPr="007621F6">
        <w:rPr>
          <w:i/>
        </w:rPr>
        <w:t>Grundsätze zur Anwendung von Preisvorbehalten bei öffentlichen Aufträgen</w:t>
      </w:r>
      <w:r>
        <w:t>“</w:t>
      </w:r>
      <w:r w:rsidR="00211B19">
        <w:rPr>
          <w:rStyle w:val="Funotenzeichen"/>
        </w:rPr>
        <w:footnoteReference w:id="1"/>
      </w:r>
      <w:r w:rsidRPr="007621F6">
        <w:rPr>
          <w:szCs w:val="22"/>
        </w:rPr>
        <w:t>,</w:t>
      </w:r>
      <w:r w:rsidRPr="007621F6">
        <w:rPr>
          <w:color w:val="FF0000"/>
          <w:szCs w:val="22"/>
        </w:rPr>
        <w:t xml:space="preserve"> </w:t>
      </w:r>
      <w:r w:rsidRPr="007621F6">
        <w:rPr>
          <w:szCs w:val="22"/>
        </w:rPr>
        <w:t xml:space="preserve">ob eine Stoffpreisgleitklausel vereinbart werden soll. </w:t>
      </w:r>
      <w:r w:rsidRPr="00B22C4B">
        <w:rPr>
          <w:szCs w:val="22"/>
        </w:rPr>
        <w:t xml:space="preserve">Die </w:t>
      </w:r>
      <w:r>
        <w:rPr>
          <w:szCs w:val="22"/>
        </w:rPr>
        <w:t xml:space="preserve">begründete </w:t>
      </w:r>
      <w:r w:rsidRPr="00B22C4B">
        <w:rPr>
          <w:szCs w:val="22"/>
        </w:rPr>
        <w:t xml:space="preserve">Entscheidung ist </w:t>
      </w:r>
      <w:r>
        <w:rPr>
          <w:szCs w:val="22"/>
        </w:rPr>
        <w:t>i</w:t>
      </w:r>
      <w:r w:rsidRPr="00B22C4B">
        <w:rPr>
          <w:szCs w:val="22"/>
        </w:rPr>
        <w:t>m Vergabevermerk zu dokumentieren.</w:t>
      </w:r>
    </w:p>
    <w:p w14:paraId="139BF664" w14:textId="77777777" w:rsidR="00F730CC" w:rsidRPr="00020BC0" w:rsidRDefault="00F730CC" w:rsidP="001B5143">
      <w:pPr>
        <w:pStyle w:val="Blocktext"/>
        <w:spacing w:before="120" w:after="0"/>
        <w:ind w:left="0"/>
        <w:rPr>
          <w:b/>
          <w:szCs w:val="22"/>
        </w:rPr>
      </w:pPr>
      <w:r w:rsidRPr="00020BC0">
        <w:rPr>
          <w:b/>
          <w:szCs w:val="22"/>
        </w:rPr>
        <w:t xml:space="preserve">Mehr- oder Minderaufwendungen werden nach folgenden Regelungen abgerechnet: </w:t>
      </w:r>
    </w:p>
    <w:p w14:paraId="6148075C" w14:textId="6E502B97" w:rsidR="00580363" w:rsidRDefault="002C23C5" w:rsidP="00634FDB">
      <w:pPr>
        <w:pStyle w:val="Block"/>
        <w:tabs>
          <w:tab w:val="clear" w:pos="425"/>
        </w:tabs>
        <w:spacing w:before="60" w:after="0"/>
        <w:ind w:left="284" w:hanging="284"/>
      </w:pPr>
      <w:r>
        <w:t>W</w:t>
      </w:r>
      <w:r w:rsidRPr="00424DAD">
        <w:t>enn Mehr- oder Minderaufwendungen abzurechnen sind</w:t>
      </w:r>
      <w:r>
        <w:t>, muss d</w:t>
      </w:r>
      <w:r w:rsidR="00CE13F3" w:rsidRPr="00424DAD">
        <w:t xml:space="preserve">er Auftragnehmer dem Auftraggeber prüfbare Aufzeichnungen </w:t>
      </w:r>
      <w:r w:rsidRPr="00424DAD">
        <w:t xml:space="preserve">über die Verwendung der Stoffe </w:t>
      </w:r>
      <w:r w:rsidR="00CE13F3" w:rsidRPr="00424DAD">
        <w:t xml:space="preserve">vorlegen. </w:t>
      </w:r>
      <w:r w:rsidR="00634FDB" w:rsidRPr="00424DAD">
        <w:t>Aus den Aufzeichnungen müssen die Menge des Stoffes und der Zeitpunkt des Einbaus</w:t>
      </w:r>
      <w:r w:rsidR="00634FDB">
        <w:t xml:space="preserve">, der Lieferung </w:t>
      </w:r>
      <w:r w:rsidR="00634FDB" w:rsidRPr="00424DAD">
        <w:t xml:space="preserve"> bzw. der Verwendung hervorgehen.</w:t>
      </w:r>
    </w:p>
    <w:p w14:paraId="30A2E705" w14:textId="58A97905" w:rsidR="00C53647" w:rsidRDefault="00E96A64" w:rsidP="00634FDB">
      <w:pPr>
        <w:pStyle w:val="Block"/>
        <w:tabs>
          <w:tab w:val="clear" w:pos="425"/>
        </w:tabs>
        <w:spacing w:before="60" w:after="0"/>
        <w:ind w:left="284" w:hanging="284"/>
      </w:pPr>
      <w:r>
        <w:t>Bei d</w:t>
      </w:r>
      <w:r w:rsidR="00CE13F3" w:rsidRPr="00424DAD">
        <w:t>er Ermittlung der Mehr- oder Minderaufwendungen werden nur die Baustoffmengen zu</w:t>
      </w:r>
      <w:r>
        <w:t xml:space="preserve"> G</w:t>
      </w:r>
      <w:r w:rsidR="00CE13F3" w:rsidRPr="00424DAD">
        <w:t>runde gelegt, für d</w:t>
      </w:r>
      <w:r w:rsidR="00CE13F3">
        <w:t>ie</w:t>
      </w:r>
      <w:r w:rsidR="00CE13F3" w:rsidRPr="00424DAD">
        <w:t xml:space="preserve"> </w:t>
      </w:r>
      <w:r>
        <w:t>der</w:t>
      </w:r>
      <w:r w:rsidR="00CE13F3" w:rsidRPr="00424DAD">
        <w:t xml:space="preserve"> Vertrag eine Vergütung gewährt.</w:t>
      </w:r>
      <w:r>
        <w:t xml:space="preserve"> </w:t>
      </w:r>
      <w:r w:rsidR="00634FDB" w:rsidRPr="00424DAD">
        <w:t xml:space="preserve">Bei vereinbarter Pauschalierung oder Limitierung der Vergütung werden die </w:t>
      </w:r>
      <w:r w:rsidR="00634FDB">
        <w:t xml:space="preserve">pauschalierten Baustoffmengen </w:t>
      </w:r>
      <w:r w:rsidR="00634FDB" w:rsidRPr="00424DAD">
        <w:t>der Ermittlung de</w:t>
      </w:r>
      <w:r w:rsidR="00634FDB">
        <w:t xml:space="preserve">r Mehr- oder Minderaufwendungen </w:t>
      </w:r>
      <w:r w:rsidR="00634FDB" w:rsidRPr="00424DAD">
        <w:t>zugrunde gelegt.</w:t>
      </w:r>
    </w:p>
    <w:p w14:paraId="34DD8AD6" w14:textId="2621B8FE" w:rsidR="00F730CC" w:rsidRDefault="00C53647" w:rsidP="00AC26A5">
      <w:pPr>
        <w:pStyle w:val="Block"/>
        <w:numPr>
          <w:ilvl w:val="0"/>
          <w:numId w:val="0"/>
        </w:numPr>
        <w:spacing w:after="0"/>
        <w:ind w:left="284"/>
      </w:pPr>
      <w:r w:rsidRPr="00424DAD">
        <w:t>Sind sowohl Mehr</w:t>
      </w:r>
      <w:r>
        <w:t xml:space="preserve">- </w:t>
      </w:r>
      <w:r w:rsidRPr="00424DAD">
        <w:t>als auch Minderaufwendungen zu erstatten, werden diese getrennt ermittelt</w:t>
      </w:r>
      <w:r>
        <w:t xml:space="preserve">, </w:t>
      </w:r>
      <w:r w:rsidRPr="00424DAD">
        <w:t>gegeneinander aufge</w:t>
      </w:r>
      <w:r w:rsidR="00634FDB">
        <w:softHyphen/>
      </w:r>
      <w:r w:rsidRPr="00424DAD">
        <w:t>rechnet</w:t>
      </w:r>
      <w:r>
        <w:t xml:space="preserve"> und </w:t>
      </w:r>
      <w:r w:rsidRPr="00424DAD">
        <w:t xml:space="preserve">die sich ergebende Differenz wird </w:t>
      </w:r>
      <w:r>
        <w:t>der weiteren Berechnung zu Grunde gelegt.</w:t>
      </w:r>
      <w:r w:rsidR="00AC26A5">
        <w:t xml:space="preserve"> </w:t>
      </w:r>
      <w:r w:rsidR="00CE13F3" w:rsidRPr="00424DAD">
        <w:t>Vermeidbare Mehrauf</w:t>
      </w:r>
      <w:r w:rsidR="00AC26A5">
        <w:softHyphen/>
      </w:r>
      <w:r w:rsidR="00CE13F3" w:rsidRPr="00424DAD">
        <w:t>wen</w:t>
      </w:r>
      <w:r w:rsidR="00AC26A5">
        <w:softHyphen/>
      </w:r>
      <w:r w:rsidR="00CE13F3" w:rsidRPr="00424DAD">
        <w:t>dungen werden nicht erstattet</w:t>
      </w:r>
      <w:r w:rsidR="001E5621">
        <w:t>. V</w:t>
      </w:r>
      <w:r w:rsidR="000B38A6">
        <w:t>ermeidbar sind insbesondere</w:t>
      </w:r>
      <w:r w:rsidR="001E5621">
        <w:t xml:space="preserve"> </w:t>
      </w:r>
      <w:r w:rsidR="00761D8E">
        <w:t xml:space="preserve">dadurch verursachte </w:t>
      </w:r>
      <w:r w:rsidR="00CE13F3" w:rsidRPr="00424DAD">
        <w:t>Mehr</w:t>
      </w:r>
      <w:r w:rsidR="00634FDB">
        <w:softHyphen/>
      </w:r>
      <w:r w:rsidR="00CE13F3" w:rsidRPr="00424DAD">
        <w:t>auf</w:t>
      </w:r>
      <w:r w:rsidR="00634FDB">
        <w:softHyphen/>
      </w:r>
      <w:r w:rsidR="00CE13F3" w:rsidRPr="00424DAD">
        <w:t xml:space="preserve">wendungen, </w:t>
      </w:r>
      <w:r w:rsidR="00761D8E">
        <w:t xml:space="preserve">dass der Auftragnehmer </w:t>
      </w:r>
      <w:r w:rsidR="00CE13F3">
        <w:t>V</w:t>
      </w:r>
      <w:r w:rsidR="00CE13F3" w:rsidRPr="00424DAD">
        <w:t xml:space="preserve">ertragsfristen </w:t>
      </w:r>
      <w:r w:rsidR="00761D8E">
        <w:t>überschritten oder die Bauausführung nicht angemessen gefördert hat.</w:t>
      </w:r>
      <w:r w:rsidR="00761D8E" w:rsidRPr="00424DAD">
        <w:t xml:space="preserve"> </w:t>
      </w:r>
    </w:p>
    <w:p w14:paraId="322413F4" w14:textId="6789E95E" w:rsidR="00CE13F3" w:rsidRDefault="00F730CC" w:rsidP="00634FDB">
      <w:pPr>
        <w:pStyle w:val="Block"/>
        <w:numPr>
          <w:ilvl w:val="0"/>
          <w:numId w:val="0"/>
        </w:numPr>
        <w:spacing w:after="0"/>
        <w:ind w:left="284" w:hanging="284"/>
      </w:pPr>
      <w:r>
        <w:t>3</w:t>
      </w:r>
      <w:r>
        <w:tab/>
      </w:r>
      <w:r w:rsidR="00CE5E71">
        <w:t xml:space="preserve">Mehr- oder Minderausgaben werden erst vergütet, wenn die </w:t>
      </w:r>
      <w:r w:rsidR="00CE5E71" w:rsidRPr="00E64C39">
        <w:rPr>
          <w:b/>
        </w:rPr>
        <w:t>Bagatellgrenze</w:t>
      </w:r>
      <w:r w:rsidR="00CE5E71">
        <w:t xml:space="preserve"> überschritten ist, d.h. wenn die Auf</w:t>
      </w:r>
      <w:r w:rsidR="00634FDB">
        <w:softHyphen/>
      </w:r>
      <w:r w:rsidR="00CE5E71">
        <w:t>wen</w:t>
      </w:r>
      <w:r w:rsidR="00634FDB">
        <w:softHyphen/>
      </w:r>
      <w:r w:rsidR="00CE5E71">
        <w:t>dungen mehr als 2% der Abrechnungssumme der im Verzeichnis für Stoffpreisgleitklauseln aufgeführten Positionen (OZ) betragen.</w:t>
      </w:r>
    </w:p>
    <w:p w14:paraId="2D1E33CF" w14:textId="78BD0FEE" w:rsidR="00F730CC" w:rsidRDefault="00A81B63" w:rsidP="00634FDB">
      <w:pPr>
        <w:pStyle w:val="Kommentartext"/>
        <w:ind w:left="284"/>
        <w:jc w:val="both"/>
      </w:pPr>
      <w:r w:rsidRPr="00E64C39">
        <w:rPr>
          <w:rFonts w:ascii="Arial" w:hAnsi="Arial" w:cs="Arial"/>
          <w:sz w:val="18"/>
          <w:szCs w:val="18"/>
        </w:rPr>
        <w:t>Für die Berechnung des Bagatellbetrages zugrunde zu legen ist die Abrechnungssumme ohne die aufgrund der Gleit</w:t>
      </w:r>
      <w:r w:rsidR="00634FDB">
        <w:rPr>
          <w:rFonts w:ascii="Arial" w:hAnsi="Arial" w:cs="Arial"/>
          <w:sz w:val="18"/>
          <w:szCs w:val="18"/>
        </w:rPr>
        <w:softHyphen/>
      </w:r>
      <w:r w:rsidRPr="00E64C39">
        <w:rPr>
          <w:rFonts w:ascii="Arial" w:hAnsi="Arial" w:cs="Arial"/>
          <w:sz w:val="18"/>
          <w:szCs w:val="18"/>
        </w:rPr>
        <w:t>klausel zu erstattenden Beträge ohne Umsatzsteuer.</w:t>
      </w:r>
    </w:p>
    <w:p w14:paraId="7AB66091" w14:textId="77777777" w:rsidR="00580363" w:rsidRDefault="00F730CC" w:rsidP="00634FDB">
      <w:pPr>
        <w:pStyle w:val="Block"/>
        <w:numPr>
          <w:ilvl w:val="0"/>
          <w:numId w:val="0"/>
        </w:numPr>
        <w:spacing w:before="60" w:after="0"/>
        <w:ind w:left="284" w:hanging="284"/>
      </w:pPr>
      <w:r>
        <w:t xml:space="preserve">4 </w:t>
      </w:r>
      <w:r>
        <w:tab/>
      </w:r>
      <w:r w:rsidR="000B38A6">
        <w:t>D</w:t>
      </w:r>
      <w:r w:rsidR="00CE13F3" w:rsidRPr="00424DAD">
        <w:t xml:space="preserve">er Auftragnehmer </w:t>
      </w:r>
      <w:r w:rsidR="000B38A6">
        <w:t xml:space="preserve">ist an den Kostenänderungen zu </w:t>
      </w:r>
      <w:r w:rsidR="00CE13F3" w:rsidRPr="00424DAD">
        <w:t>beteilig</w:t>
      </w:r>
      <w:r w:rsidR="000B38A6">
        <w:t>en:</w:t>
      </w:r>
      <w:r w:rsidR="00580363">
        <w:t xml:space="preserve"> </w:t>
      </w:r>
    </w:p>
    <w:p w14:paraId="41A388BF" w14:textId="78949373" w:rsidR="00CE13F3" w:rsidRDefault="00580363" w:rsidP="00634FDB">
      <w:pPr>
        <w:pStyle w:val="Block"/>
        <w:numPr>
          <w:ilvl w:val="0"/>
          <w:numId w:val="0"/>
        </w:numPr>
        <w:spacing w:after="0"/>
        <w:ind w:left="284"/>
      </w:pPr>
      <w:r>
        <w:t>S</w:t>
      </w:r>
      <w:r w:rsidR="00CE13F3">
        <w:t xml:space="preserve">ein </w:t>
      </w:r>
      <w:r w:rsidR="00CE13F3" w:rsidRPr="00C16D7D">
        <w:rPr>
          <w:b/>
        </w:rPr>
        <w:t>Selbstbe</w:t>
      </w:r>
      <w:r w:rsidR="000B38A6" w:rsidRPr="00C16D7D">
        <w:rPr>
          <w:b/>
        </w:rPr>
        <w:t>halt</w:t>
      </w:r>
      <w:r w:rsidR="00CE13F3" w:rsidRPr="00C16D7D">
        <w:rPr>
          <w:b/>
        </w:rPr>
        <w:t xml:space="preserve"> </w:t>
      </w:r>
      <w:r w:rsidR="00CE13F3" w:rsidRPr="00507716">
        <w:t>beträgt 10 </w:t>
      </w:r>
      <w:r w:rsidR="000B38A6" w:rsidRPr="00507716">
        <w:t>%</w:t>
      </w:r>
      <w:r w:rsidR="00CE13F3" w:rsidRPr="00507716">
        <w:t xml:space="preserve"> der Mehr</w:t>
      </w:r>
      <w:r w:rsidR="000B38A6" w:rsidRPr="00507716">
        <w:t xml:space="preserve">- </w:t>
      </w:r>
      <w:r w:rsidR="000B38A6" w:rsidRPr="00F73CAA">
        <w:t>oder Minder</w:t>
      </w:r>
      <w:r w:rsidR="00CE13F3" w:rsidRPr="00F73CAA">
        <w:t>aufwendungen</w:t>
      </w:r>
      <w:r w:rsidR="00CE13F3" w:rsidRPr="00507716">
        <w:t xml:space="preserve">, mindestens aber die Höhe </w:t>
      </w:r>
      <w:r w:rsidR="00F73CAA" w:rsidRPr="00507716">
        <w:t>de</w:t>
      </w:r>
      <w:r w:rsidR="00F73CAA">
        <w:t>s</w:t>
      </w:r>
      <w:r w:rsidR="00F73CAA" w:rsidRPr="00507716">
        <w:t xml:space="preserve"> </w:t>
      </w:r>
      <w:r w:rsidR="00CE13F3" w:rsidRPr="00507716">
        <w:t>Bagatell</w:t>
      </w:r>
      <w:r w:rsidR="00634FDB">
        <w:softHyphen/>
      </w:r>
      <w:r w:rsidR="00F73CAA">
        <w:t>betrages</w:t>
      </w:r>
      <w:r w:rsidR="00CE13F3" w:rsidRPr="00507716">
        <w:t>.</w:t>
      </w:r>
      <w:r w:rsidR="00CE13F3" w:rsidRPr="00424DAD">
        <w:t xml:space="preserve"> Für d</w:t>
      </w:r>
      <w:r w:rsidR="00E96A64">
        <w:t>en</w:t>
      </w:r>
      <w:r w:rsidR="00CE13F3" w:rsidRPr="00424DAD">
        <w:t xml:space="preserve"> Selbst</w:t>
      </w:r>
      <w:r w:rsidR="00CE13F3">
        <w:t>be</w:t>
      </w:r>
      <w:r w:rsidR="00E96A64">
        <w:t>halt</w:t>
      </w:r>
      <w:r w:rsidR="00CE13F3">
        <w:t xml:space="preserve"> ist</w:t>
      </w:r>
      <w:r w:rsidR="00CE13F3" w:rsidRPr="00424DAD">
        <w:t xml:space="preserve"> der Mehr</w:t>
      </w:r>
      <w:r w:rsidR="00E96A64">
        <w:t>-/Minder</w:t>
      </w:r>
      <w:r w:rsidR="00C53647">
        <w:t>-</w:t>
      </w:r>
      <w:r w:rsidR="00CE13F3" w:rsidRPr="00424DAD">
        <w:t>betrag ohne Umsatzsteuer</w:t>
      </w:r>
      <w:r w:rsidR="00E96A64">
        <w:t xml:space="preserve"> anzusetzen</w:t>
      </w:r>
      <w:r w:rsidR="00CE13F3">
        <w:t>.</w:t>
      </w:r>
      <w:r w:rsidR="00507716">
        <w:t xml:space="preserve"> Für die Berechnung der Selbstbeteiligung zugrunde zu legen ist der Mehrbetrag ohne Umsatzsteuer. </w:t>
      </w:r>
    </w:p>
    <w:p w14:paraId="39C1DAC8" w14:textId="24593E58" w:rsidR="00CE13F3" w:rsidRDefault="00CE13F3" w:rsidP="00634FDB">
      <w:pPr>
        <w:pStyle w:val="Block"/>
        <w:numPr>
          <w:ilvl w:val="0"/>
          <w:numId w:val="0"/>
        </w:numPr>
        <w:ind w:left="284"/>
      </w:pPr>
      <w:r w:rsidRPr="00424DAD">
        <w:t xml:space="preserve">Bei Stoffpreissenkungen </w:t>
      </w:r>
      <w:r w:rsidR="00E96A64">
        <w:t>muss</w:t>
      </w:r>
      <w:r w:rsidRPr="00424DAD">
        <w:t xml:space="preserve"> der Auftragnehmer die ersparten (Minder-)Aufwendungen von seinem Vergütungs</w:t>
      </w:r>
      <w:r w:rsidR="00E96A64">
        <w:t>-</w:t>
      </w:r>
      <w:r w:rsidRPr="00424DAD">
        <w:t>anspruch absetzen.</w:t>
      </w:r>
      <w:r w:rsidR="00F73CAA">
        <w:t xml:space="preserve"> Bei Stoffpreissteigerungen</w:t>
      </w:r>
      <w:r w:rsidR="00911530">
        <w:t xml:space="preserve"> </w:t>
      </w:r>
      <w:r w:rsidR="00F73CAA">
        <w:t>ist er berechtigt, 10% der ersparten Aufwendungen, mindestens die Höhe des Betrages der Bagatellgrenze einzubehalten.</w:t>
      </w:r>
      <w:r w:rsidR="00F73CAA">
        <w:rPr>
          <w:rStyle w:val="Kommentarzeichen"/>
          <w:rFonts w:ascii="Times New Roman" w:hAnsi="Times New Roman"/>
        </w:rPr>
        <w:t xml:space="preserve"> </w:t>
      </w:r>
    </w:p>
    <w:p w14:paraId="5CF30ADD" w14:textId="77777777" w:rsidR="00F93767" w:rsidRPr="00F730CC" w:rsidRDefault="00F730CC" w:rsidP="00634FDB">
      <w:pPr>
        <w:pStyle w:val="Block"/>
        <w:numPr>
          <w:ilvl w:val="0"/>
          <w:numId w:val="0"/>
        </w:numPr>
        <w:spacing w:before="60" w:after="0"/>
        <w:ind w:left="284" w:hanging="284"/>
        <w:rPr>
          <w:rFonts w:cs="Arial"/>
          <w:szCs w:val="18"/>
        </w:rPr>
      </w:pPr>
      <w:r>
        <w:rPr>
          <w:rFonts w:cs="Arial"/>
          <w:szCs w:val="18"/>
        </w:rPr>
        <w:t xml:space="preserve">5 </w:t>
      </w:r>
      <w:r>
        <w:rPr>
          <w:rFonts w:cs="Arial"/>
          <w:szCs w:val="18"/>
        </w:rPr>
        <w:tab/>
        <w:t>Die Stoffpreisgleitklausel findet auf (z.B. an Nachunternehmer) weitergegebene Vertragsleistungen nur Anwendung, wenn und soweit der Auftragnehmer dem Auftraggeber nachweist, dass die geltend gemachten Mehraufwendungen entstanden sind. Bei Preissenkungen und damit verbundenen Minderaufwendungen muss kein entsprechender Nachweis geführt werden.</w:t>
      </w:r>
    </w:p>
    <w:p w14:paraId="72F4A2D0" w14:textId="77777777" w:rsidR="00613431" w:rsidRDefault="001B5143" w:rsidP="001B5143">
      <w:pPr>
        <w:pStyle w:val="Blocktext"/>
        <w:spacing w:before="120"/>
        <w:ind w:left="0"/>
        <w:rPr>
          <w:b/>
          <w:szCs w:val="22"/>
        </w:rPr>
      </w:pPr>
      <w:r>
        <w:rPr>
          <w:b/>
          <w:szCs w:val="22"/>
        </w:rPr>
        <w:t xml:space="preserve">Die Vergabestellte berechnet die </w:t>
      </w:r>
      <w:r w:rsidR="00F730CC" w:rsidRPr="00020BC0">
        <w:rPr>
          <w:b/>
          <w:szCs w:val="22"/>
        </w:rPr>
        <w:t xml:space="preserve">Mehr- oder Minderaufwendungen </w:t>
      </w:r>
      <w:r>
        <w:rPr>
          <w:b/>
          <w:szCs w:val="22"/>
        </w:rPr>
        <w:t>wie folgt</w:t>
      </w:r>
      <w:r w:rsidR="003715B5">
        <w:rPr>
          <w:b/>
          <w:szCs w:val="22"/>
        </w:rPr>
        <w:t>:</w:t>
      </w:r>
      <w:r>
        <w:rPr>
          <w:b/>
          <w:szCs w:val="22"/>
        </w:rPr>
        <w:t xml:space="preserve"> </w:t>
      </w:r>
    </w:p>
    <w:p w14:paraId="2E17004C" w14:textId="77777777" w:rsidR="00020BC0" w:rsidRDefault="001B5143" w:rsidP="00613431">
      <w:pPr>
        <w:pStyle w:val="Block"/>
        <w:numPr>
          <w:ilvl w:val="0"/>
          <w:numId w:val="0"/>
        </w:numPr>
      </w:pPr>
      <w:r>
        <w:t xml:space="preserve">Die </w:t>
      </w:r>
      <w:r w:rsidR="00020BC0" w:rsidRPr="00424DAD">
        <w:t>Mehr- oder Minderauf</w:t>
      </w:r>
      <w:r w:rsidR="00020BC0">
        <w:t>wendungen werden errechnet für jede</w:t>
      </w:r>
      <w:r w:rsidR="00020BC0" w:rsidRPr="00424DAD">
        <w:t xml:space="preserve"> </w:t>
      </w:r>
      <w:r w:rsidR="00020BC0">
        <w:t xml:space="preserve">Position (OZ) </w:t>
      </w:r>
      <w:r w:rsidR="00020BC0" w:rsidRPr="00424DAD">
        <w:t xml:space="preserve">im </w:t>
      </w:r>
      <w:r w:rsidR="00020BC0">
        <w:t>„</w:t>
      </w:r>
      <w:r w:rsidR="00020BC0" w:rsidRPr="00424DAD">
        <w:t xml:space="preserve">Verzeichnis </w:t>
      </w:r>
      <w:r w:rsidR="00020BC0">
        <w:t xml:space="preserve">für Stoffpreisgleitklausel“ aus der Differenz des Basiswertes 3 und des Basiswertes 2 multipliziert mit der abzurechnenden Menge. </w:t>
      </w:r>
    </w:p>
    <w:p w14:paraId="43732B77" w14:textId="77777777" w:rsidR="00020BC0" w:rsidRPr="001B5143" w:rsidRDefault="00020BC0" w:rsidP="001B5143">
      <w:pPr>
        <w:pStyle w:val="Block"/>
        <w:numPr>
          <w:ilvl w:val="0"/>
          <w:numId w:val="0"/>
        </w:numPr>
        <w:spacing w:after="0"/>
        <w:rPr>
          <w:sz w:val="16"/>
          <w:szCs w:val="16"/>
        </w:rPr>
      </w:pPr>
      <w:r w:rsidRPr="001B5143">
        <w:rPr>
          <w:sz w:val="16"/>
          <w:szCs w:val="16"/>
        </w:rPr>
        <w:t xml:space="preserve">Der Basiswert 1 wird unter der entsprechenden GP-Nummer als </w:t>
      </w:r>
      <w:r w:rsidRPr="001B5143">
        <w:rPr>
          <w:b/>
          <w:sz w:val="16"/>
          <w:szCs w:val="16"/>
        </w:rPr>
        <w:t>Basiswert 2</w:t>
      </w:r>
      <w:r w:rsidRPr="001B5143">
        <w:rPr>
          <w:sz w:val="16"/>
          <w:szCs w:val="16"/>
        </w:rPr>
        <w:t xml:space="preserve"> fortgeschrieben durch Multiplikation mit dem Quotienten der Preisindizes (Monat/Jahr) der Erzeugerpreise gewerblicher Produkte (GP) des Statistischen Bundesamtes vom Monat der Angebotseröffnung und vom Monat des Versandes der Vergabeunterlagen</w:t>
      </w:r>
      <w:r w:rsidR="00362114">
        <w:rPr>
          <w:sz w:val="16"/>
          <w:szCs w:val="16"/>
        </w:rPr>
        <w:br/>
        <w:t>(</w:t>
      </w:r>
      <w:r w:rsidRPr="001B5143">
        <w:rPr>
          <w:sz w:val="16"/>
          <w:szCs w:val="16"/>
        </w:rPr>
        <w:t>veröffentlicht in der Fachserie 17 Reihe 2 bzw. auf der Homepage des Statistischen Bundesamtes unter „www.destatis.de“</w:t>
      </w:r>
      <w:r w:rsidR="00362114">
        <w:rPr>
          <w:sz w:val="16"/>
          <w:szCs w:val="16"/>
        </w:rPr>
        <w:t>)</w:t>
      </w:r>
      <w:r w:rsidRPr="001B5143">
        <w:rPr>
          <w:sz w:val="16"/>
          <w:szCs w:val="16"/>
        </w:rPr>
        <w:t>:</w:t>
      </w:r>
    </w:p>
    <w:tbl>
      <w:tblPr>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543"/>
        <w:gridCol w:w="1702"/>
      </w:tblGrid>
      <w:tr w:rsidR="00020BC0" w:rsidRPr="001B5143" w14:paraId="0838D608" w14:textId="77777777" w:rsidTr="001B5143">
        <w:tc>
          <w:tcPr>
            <w:tcW w:w="1590" w:type="dxa"/>
            <w:vMerge w:val="restart"/>
            <w:tcBorders>
              <w:top w:val="nil"/>
              <w:left w:val="nil"/>
              <w:bottom w:val="nil"/>
              <w:right w:val="nil"/>
            </w:tcBorders>
            <w:shd w:val="clear" w:color="auto" w:fill="auto"/>
            <w:vAlign w:val="center"/>
          </w:tcPr>
          <w:p w14:paraId="3457557D" w14:textId="77777777" w:rsidR="00020BC0" w:rsidRPr="001B5143" w:rsidRDefault="00020BC0" w:rsidP="00020BC0">
            <w:pPr>
              <w:pStyle w:val="Block"/>
              <w:numPr>
                <w:ilvl w:val="0"/>
                <w:numId w:val="0"/>
              </w:numPr>
              <w:jc w:val="center"/>
              <w:rPr>
                <w:sz w:val="16"/>
                <w:szCs w:val="16"/>
              </w:rPr>
            </w:pPr>
            <w:r w:rsidRPr="001B5143">
              <w:rPr>
                <w:sz w:val="16"/>
                <w:szCs w:val="16"/>
              </w:rPr>
              <w:t xml:space="preserve">Basiswert 1 </w:t>
            </w:r>
            <w:r w:rsidRPr="001B5143">
              <w:rPr>
                <w:sz w:val="16"/>
                <w:szCs w:val="16"/>
              </w:rPr>
              <w:sym w:font="Wingdings" w:char="F0AC"/>
            </w:r>
          </w:p>
        </w:tc>
        <w:tc>
          <w:tcPr>
            <w:tcW w:w="3543" w:type="dxa"/>
            <w:tcBorders>
              <w:top w:val="nil"/>
              <w:left w:val="nil"/>
              <w:bottom w:val="single" w:sz="4" w:space="0" w:color="auto"/>
              <w:right w:val="nil"/>
            </w:tcBorders>
            <w:shd w:val="clear" w:color="auto" w:fill="auto"/>
            <w:vAlign w:val="center"/>
          </w:tcPr>
          <w:p w14:paraId="15776D69" w14:textId="77777777" w:rsidR="00020BC0" w:rsidRPr="001B5143" w:rsidRDefault="00020BC0" w:rsidP="00020BC0">
            <w:pPr>
              <w:pStyle w:val="Block"/>
              <w:numPr>
                <w:ilvl w:val="0"/>
                <w:numId w:val="0"/>
              </w:numPr>
              <w:jc w:val="center"/>
              <w:rPr>
                <w:sz w:val="16"/>
                <w:szCs w:val="16"/>
              </w:rPr>
            </w:pPr>
            <w:r w:rsidRPr="001B5143">
              <w:rPr>
                <w:sz w:val="16"/>
                <w:szCs w:val="16"/>
              </w:rPr>
              <w:t>Index Eröffnung der Angebote</w:t>
            </w:r>
          </w:p>
        </w:tc>
        <w:tc>
          <w:tcPr>
            <w:tcW w:w="1702" w:type="dxa"/>
            <w:vMerge w:val="restart"/>
            <w:tcBorders>
              <w:top w:val="nil"/>
              <w:left w:val="nil"/>
              <w:bottom w:val="nil"/>
              <w:right w:val="nil"/>
            </w:tcBorders>
            <w:shd w:val="clear" w:color="auto" w:fill="auto"/>
            <w:vAlign w:val="center"/>
          </w:tcPr>
          <w:p w14:paraId="21AD162F" w14:textId="77777777" w:rsidR="00020BC0" w:rsidRPr="001B5143" w:rsidRDefault="00020BC0" w:rsidP="00020BC0">
            <w:pPr>
              <w:pStyle w:val="Block"/>
              <w:numPr>
                <w:ilvl w:val="0"/>
                <w:numId w:val="0"/>
              </w:numPr>
              <w:jc w:val="center"/>
              <w:rPr>
                <w:sz w:val="16"/>
                <w:szCs w:val="16"/>
              </w:rPr>
            </w:pPr>
            <w:r w:rsidRPr="001B5143">
              <w:rPr>
                <w:sz w:val="16"/>
                <w:szCs w:val="16"/>
              </w:rPr>
              <w:t>= Basiswert 2</w:t>
            </w:r>
          </w:p>
        </w:tc>
      </w:tr>
      <w:tr w:rsidR="00020BC0" w:rsidRPr="001B5143" w14:paraId="08410246" w14:textId="77777777" w:rsidTr="001B5143">
        <w:tc>
          <w:tcPr>
            <w:tcW w:w="1590" w:type="dxa"/>
            <w:vMerge/>
            <w:tcBorders>
              <w:top w:val="nil"/>
              <w:left w:val="nil"/>
              <w:bottom w:val="nil"/>
              <w:right w:val="nil"/>
            </w:tcBorders>
            <w:shd w:val="clear" w:color="auto" w:fill="auto"/>
          </w:tcPr>
          <w:p w14:paraId="077792ED" w14:textId="77777777" w:rsidR="00020BC0" w:rsidRPr="001B5143" w:rsidRDefault="00020BC0" w:rsidP="00020BC0">
            <w:pPr>
              <w:pStyle w:val="Block"/>
              <w:numPr>
                <w:ilvl w:val="0"/>
                <w:numId w:val="0"/>
              </w:numPr>
              <w:rPr>
                <w:i/>
                <w:sz w:val="16"/>
                <w:szCs w:val="16"/>
              </w:rPr>
            </w:pPr>
          </w:p>
        </w:tc>
        <w:tc>
          <w:tcPr>
            <w:tcW w:w="3543" w:type="dxa"/>
            <w:tcBorders>
              <w:left w:val="nil"/>
              <w:bottom w:val="nil"/>
              <w:right w:val="nil"/>
            </w:tcBorders>
            <w:shd w:val="clear" w:color="auto" w:fill="auto"/>
            <w:vAlign w:val="center"/>
          </w:tcPr>
          <w:p w14:paraId="114C5369" w14:textId="77777777" w:rsidR="00020BC0" w:rsidRPr="001B5143" w:rsidRDefault="00020BC0" w:rsidP="00020BC0">
            <w:pPr>
              <w:pStyle w:val="Block"/>
              <w:numPr>
                <w:ilvl w:val="0"/>
                <w:numId w:val="0"/>
              </w:numPr>
              <w:jc w:val="center"/>
              <w:rPr>
                <w:sz w:val="16"/>
                <w:szCs w:val="16"/>
              </w:rPr>
            </w:pPr>
            <w:r w:rsidRPr="001B5143">
              <w:rPr>
                <w:sz w:val="16"/>
                <w:szCs w:val="16"/>
              </w:rPr>
              <w:t>Index Versand der Vergabeunterlagen</w:t>
            </w:r>
          </w:p>
        </w:tc>
        <w:tc>
          <w:tcPr>
            <w:tcW w:w="1702" w:type="dxa"/>
            <w:vMerge/>
            <w:tcBorders>
              <w:top w:val="nil"/>
              <w:left w:val="nil"/>
              <w:bottom w:val="nil"/>
              <w:right w:val="nil"/>
            </w:tcBorders>
            <w:shd w:val="clear" w:color="auto" w:fill="auto"/>
          </w:tcPr>
          <w:p w14:paraId="3828974C" w14:textId="77777777" w:rsidR="00020BC0" w:rsidRPr="001B5143" w:rsidRDefault="00020BC0" w:rsidP="00020BC0">
            <w:pPr>
              <w:pStyle w:val="Block"/>
              <w:numPr>
                <w:ilvl w:val="0"/>
                <w:numId w:val="0"/>
              </w:numPr>
              <w:rPr>
                <w:sz w:val="16"/>
                <w:szCs w:val="16"/>
              </w:rPr>
            </w:pPr>
          </w:p>
        </w:tc>
      </w:tr>
    </w:tbl>
    <w:p w14:paraId="4100EBBB" w14:textId="77777777" w:rsidR="00362114" w:rsidRDefault="00020BC0" w:rsidP="005D68D6">
      <w:pPr>
        <w:pStyle w:val="Block"/>
        <w:numPr>
          <w:ilvl w:val="0"/>
          <w:numId w:val="0"/>
        </w:numPr>
        <w:spacing w:before="40" w:after="0"/>
        <w:rPr>
          <w:sz w:val="16"/>
          <w:szCs w:val="16"/>
        </w:rPr>
      </w:pPr>
      <w:r w:rsidRPr="001B5143">
        <w:rPr>
          <w:sz w:val="16"/>
          <w:szCs w:val="16"/>
        </w:rPr>
        <w:t xml:space="preserve">Der Basiswert 2 wird unter der entsprechenden GP-Nummer als </w:t>
      </w:r>
      <w:r w:rsidRPr="001B5143">
        <w:rPr>
          <w:b/>
          <w:sz w:val="16"/>
          <w:szCs w:val="16"/>
        </w:rPr>
        <w:t>Basiswert 3</w:t>
      </w:r>
      <w:r w:rsidRPr="001B5143">
        <w:rPr>
          <w:sz w:val="16"/>
          <w:szCs w:val="16"/>
        </w:rPr>
        <w:t xml:space="preserve"> fortgeschrieben durch Multiplikation mit dem Quotienten der Preisindizes (Monat/Jahr) der Erzeugerpreise gewerblicher Produkte (GP) des Statistischen Bundesamtes vom Monat des Einbaus, der Lieferung bzw. der Verwendung und dem Monat der Eröffnung der Angebote</w:t>
      </w:r>
    </w:p>
    <w:p w14:paraId="5B603687" w14:textId="77777777" w:rsidR="00020BC0" w:rsidRPr="001B5143" w:rsidRDefault="00362114" w:rsidP="001B5143">
      <w:pPr>
        <w:pStyle w:val="Block"/>
        <w:numPr>
          <w:ilvl w:val="0"/>
          <w:numId w:val="0"/>
        </w:numPr>
        <w:spacing w:after="0"/>
        <w:rPr>
          <w:sz w:val="16"/>
          <w:szCs w:val="16"/>
        </w:rPr>
      </w:pPr>
      <w:r>
        <w:rPr>
          <w:sz w:val="16"/>
          <w:szCs w:val="16"/>
        </w:rPr>
        <w:t>(</w:t>
      </w:r>
      <w:r w:rsidR="00020BC0" w:rsidRPr="001B5143">
        <w:rPr>
          <w:sz w:val="16"/>
          <w:szCs w:val="16"/>
        </w:rPr>
        <w:t>veröffentlicht in der Fachserie 17 Reihe 2 bzw. auf der Homepage des Statistischen Bundesamtes unter „www.destatis.de“</w:t>
      </w:r>
      <w:r>
        <w:rPr>
          <w:sz w:val="16"/>
          <w:szCs w:val="16"/>
        </w:rPr>
        <w:t>)</w:t>
      </w:r>
      <w:r w:rsidR="00020BC0" w:rsidRPr="001B5143">
        <w:rPr>
          <w:sz w:val="16"/>
          <w:szCs w:val="16"/>
        </w:rPr>
        <w:t>:</w:t>
      </w:r>
    </w:p>
    <w:tbl>
      <w:tblPr>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543"/>
        <w:gridCol w:w="1702"/>
      </w:tblGrid>
      <w:tr w:rsidR="00020BC0" w:rsidRPr="001B5143" w14:paraId="65CCADE8" w14:textId="77777777" w:rsidTr="001B5143">
        <w:tc>
          <w:tcPr>
            <w:tcW w:w="1590" w:type="dxa"/>
            <w:vMerge w:val="restart"/>
            <w:tcBorders>
              <w:top w:val="nil"/>
              <w:left w:val="nil"/>
              <w:bottom w:val="nil"/>
              <w:right w:val="nil"/>
            </w:tcBorders>
            <w:shd w:val="clear" w:color="auto" w:fill="auto"/>
            <w:vAlign w:val="center"/>
          </w:tcPr>
          <w:p w14:paraId="1518D1D5" w14:textId="77777777" w:rsidR="00020BC0" w:rsidRPr="001B5143" w:rsidRDefault="00020BC0" w:rsidP="00020BC0">
            <w:pPr>
              <w:pStyle w:val="Block"/>
              <w:numPr>
                <w:ilvl w:val="0"/>
                <w:numId w:val="0"/>
              </w:numPr>
              <w:jc w:val="center"/>
              <w:rPr>
                <w:sz w:val="16"/>
                <w:szCs w:val="16"/>
              </w:rPr>
            </w:pPr>
            <w:r w:rsidRPr="001B5143">
              <w:rPr>
                <w:sz w:val="16"/>
                <w:szCs w:val="16"/>
              </w:rPr>
              <w:t xml:space="preserve">Basiswert 2 </w:t>
            </w:r>
            <w:r w:rsidRPr="001B5143">
              <w:rPr>
                <w:sz w:val="16"/>
                <w:szCs w:val="16"/>
              </w:rPr>
              <w:sym w:font="Wingdings" w:char="F0AC"/>
            </w:r>
          </w:p>
        </w:tc>
        <w:tc>
          <w:tcPr>
            <w:tcW w:w="3543" w:type="dxa"/>
            <w:tcBorders>
              <w:top w:val="nil"/>
              <w:left w:val="nil"/>
              <w:bottom w:val="single" w:sz="4" w:space="0" w:color="auto"/>
              <w:right w:val="nil"/>
            </w:tcBorders>
            <w:shd w:val="clear" w:color="auto" w:fill="auto"/>
            <w:vAlign w:val="center"/>
          </w:tcPr>
          <w:p w14:paraId="7436845C" w14:textId="77777777" w:rsidR="00020BC0" w:rsidRPr="001B5143" w:rsidRDefault="00020BC0" w:rsidP="00020BC0">
            <w:pPr>
              <w:pStyle w:val="Block"/>
              <w:numPr>
                <w:ilvl w:val="0"/>
                <w:numId w:val="0"/>
              </w:numPr>
              <w:jc w:val="center"/>
              <w:rPr>
                <w:sz w:val="16"/>
                <w:szCs w:val="16"/>
              </w:rPr>
            </w:pPr>
            <w:r w:rsidRPr="001B5143">
              <w:rPr>
                <w:sz w:val="16"/>
                <w:szCs w:val="16"/>
              </w:rPr>
              <w:t>Index Abrechnungszeitpunkt</w:t>
            </w:r>
          </w:p>
        </w:tc>
        <w:tc>
          <w:tcPr>
            <w:tcW w:w="1702" w:type="dxa"/>
            <w:vMerge w:val="restart"/>
            <w:tcBorders>
              <w:top w:val="nil"/>
              <w:left w:val="nil"/>
              <w:bottom w:val="nil"/>
              <w:right w:val="nil"/>
            </w:tcBorders>
            <w:shd w:val="clear" w:color="auto" w:fill="auto"/>
            <w:vAlign w:val="center"/>
          </w:tcPr>
          <w:p w14:paraId="6A80AF29" w14:textId="77777777" w:rsidR="00020BC0" w:rsidRPr="001B5143" w:rsidRDefault="00020BC0" w:rsidP="00020BC0">
            <w:pPr>
              <w:pStyle w:val="Block"/>
              <w:numPr>
                <w:ilvl w:val="0"/>
                <w:numId w:val="0"/>
              </w:numPr>
              <w:jc w:val="center"/>
              <w:rPr>
                <w:sz w:val="16"/>
                <w:szCs w:val="16"/>
              </w:rPr>
            </w:pPr>
            <w:r w:rsidRPr="001B5143">
              <w:rPr>
                <w:sz w:val="16"/>
                <w:szCs w:val="16"/>
              </w:rPr>
              <w:t>= Basiswert 3</w:t>
            </w:r>
          </w:p>
        </w:tc>
      </w:tr>
      <w:tr w:rsidR="00020BC0" w:rsidRPr="00BF66C6" w14:paraId="7CB91FCB" w14:textId="77777777" w:rsidTr="001B5143">
        <w:tc>
          <w:tcPr>
            <w:tcW w:w="1590" w:type="dxa"/>
            <w:vMerge/>
            <w:tcBorders>
              <w:top w:val="nil"/>
              <w:left w:val="nil"/>
              <w:bottom w:val="nil"/>
              <w:right w:val="nil"/>
            </w:tcBorders>
            <w:shd w:val="clear" w:color="auto" w:fill="auto"/>
          </w:tcPr>
          <w:p w14:paraId="78387A57" w14:textId="77777777" w:rsidR="00020BC0" w:rsidRPr="001B5143" w:rsidRDefault="00020BC0" w:rsidP="00020BC0">
            <w:pPr>
              <w:pStyle w:val="Block"/>
              <w:numPr>
                <w:ilvl w:val="0"/>
                <w:numId w:val="0"/>
              </w:numPr>
              <w:rPr>
                <w:i/>
                <w:sz w:val="16"/>
                <w:szCs w:val="16"/>
              </w:rPr>
            </w:pPr>
          </w:p>
        </w:tc>
        <w:tc>
          <w:tcPr>
            <w:tcW w:w="3543" w:type="dxa"/>
            <w:tcBorders>
              <w:left w:val="nil"/>
              <w:bottom w:val="nil"/>
              <w:right w:val="nil"/>
            </w:tcBorders>
            <w:shd w:val="clear" w:color="auto" w:fill="auto"/>
            <w:vAlign w:val="center"/>
          </w:tcPr>
          <w:p w14:paraId="29BA4C60" w14:textId="77777777" w:rsidR="00020BC0" w:rsidRPr="001B5143" w:rsidRDefault="00020BC0" w:rsidP="00020BC0">
            <w:pPr>
              <w:pStyle w:val="Block"/>
              <w:numPr>
                <w:ilvl w:val="0"/>
                <w:numId w:val="0"/>
              </w:numPr>
              <w:jc w:val="center"/>
              <w:rPr>
                <w:sz w:val="16"/>
                <w:szCs w:val="16"/>
              </w:rPr>
            </w:pPr>
            <w:r w:rsidRPr="001B5143">
              <w:rPr>
                <w:sz w:val="16"/>
                <w:szCs w:val="16"/>
              </w:rPr>
              <w:t>Index Eröffnung der Angebote</w:t>
            </w:r>
          </w:p>
        </w:tc>
        <w:tc>
          <w:tcPr>
            <w:tcW w:w="1702" w:type="dxa"/>
            <w:vMerge/>
            <w:tcBorders>
              <w:top w:val="nil"/>
              <w:left w:val="nil"/>
              <w:bottom w:val="nil"/>
              <w:right w:val="nil"/>
            </w:tcBorders>
            <w:shd w:val="clear" w:color="auto" w:fill="auto"/>
          </w:tcPr>
          <w:p w14:paraId="6B10C096" w14:textId="77777777" w:rsidR="00020BC0" w:rsidRPr="00423B30" w:rsidRDefault="00020BC0" w:rsidP="00020BC0">
            <w:pPr>
              <w:pStyle w:val="Block"/>
              <w:numPr>
                <w:ilvl w:val="0"/>
                <w:numId w:val="0"/>
              </w:numPr>
              <w:rPr>
                <w:i/>
                <w:szCs w:val="18"/>
              </w:rPr>
            </w:pPr>
          </w:p>
        </w:tc>
      </w:tr>
    </w:tbl>
    <w:p w14:paraId="65059EC3" w14:textId="77777777" w:rsidR="00020BC0" w:rsidRPr="001B5143" w:rsidRDefault="00020BC0" w:rsidP="005D68D6">
      <w:pPr>
        <w:pStyle w:val="Block"/>
        <w:numPr>
          <w:ilvl w:val="0"/>
          <w:numId w:val="0"/>
        </w:numPr>
        <w:spacing w:before="40" w:after="0"/>
        <w:rPr>
          <w:sz w:val="16"/>
          <w:szCs w:val="16"/>
        </w:rPr>
      </w:pPr>
      <w:r w:rsidRPr="001B5143">
        <w:rPr>
          <w:sz w:val="16"/>
          <w:szCs w:val="16"/>
        </w:rPr>
        <w:t>Die errechneten Mehr-</w:t>
      </w:r>
      <w:r w:rsidR="001B5143">
        <w:rPr>
          <w:sz w:val="16"/>
          <w:szCs w:val="16"/>
        </w:rPr>
        <w:t>/</w:t>
      </w:r>
      <w:r w:rsidRPr="001B5143">
        <w:rPr>
          <w:sz w:val="16"/>
          <w:szCs w:val="16"/>
        </w:rPr>
        <w:t xml:space="preserve">Minderaufwendungen werden für jede im „Verzeichnis für Stoffpreisgleitklausel“ angegebene Position (OZ) und der nachgewiesenen Menge unter Berücksichtigung des Selbstbehalts </w:t>
      </w:r>
      <w:r w:rsidR="001B5143">
        <w:rPr>
          <w:sz w:val="16"/>
          <w:szCs w:val="16"/>
        </w:rPr>
        <w:t xml:space="preserve">zusätzlich </w:t>
      </w:r>
      <w:r w:rsidRPr="001B5143">
        <w:rPr>
          <w:sz w:val="16"/>
          <w:szCs w:val="16"/>
        </w:rPr>
        <w:t>zum Angebotspreis vergütet bzw. vo</w:t>
      </w:r>
      <w:r w:rsidR="001B5143">
        <w:rPr>
          <w:sz w:val="16"/>
          <w:szCs w:val="16"/>
        </w:rPr>
        <w:t xml:space="preserve">n ihm </w:t>
      </w:r>
      <w:r w:rsidRPr="001B5143">
        <w:rPr>
          <w:sz w:val="16"/>
          <w:szCs w:val="16"/>
        </w:rPr>
        <w:t>abgezogen.</w:t>
      </w:r>
    </w:p>
    <w:p w14:paraId="6F7791FF" w14:textId="77777777" w:rsidR="00211B19" w:rsidRPr="00F73CAA" w:rsidRDefault="00211B19" w:rsidP="00211B19">
      <w:pPr>
        <w:pStyle w:val="berschrift"/>
        <w:numPr>
          <w:ilvl w:val="0"/>
          <w:numId w:val="0"/>
        </w:numPr>
        <w:spacing w:before="40" w:after="0"/>
        <w:ind w:left="952" w:hanging="952"/>
        <w:rPr>
          <w:rFonts w:cs="Arial"/>
          <w:b w:val="0"/>
          <w:i/>
          <w:iCs/>
          <w:sz w:val="14"/>
          <w:szCs w:val="14"/>
        </w:rPr>
      </w:pPr>
      <w:r w:rsidRPr="00737145">
        <w:rPr>
          <w:rFonts w:cs="Arial"/>
          <w:i/>
          <w:sz w:val="14"/>
          <w:szCs w:val="14"/>
          <w:u w:val="single"/>
        </w:rPr>
        <w:t>Beispiel:</w:t>
      </w:r>
      <w:r w:rsidRPr="00737145">
        <w:rPr>
          <w:rFonts w:cs="Arial"/>
          <w:i/>
          <w:sz w:val="14"/>
          <w:szCs w:val="14"/>
        </w:rPr>
        <w:t xml:space="preserve"> </w:t>
      </w:r>
      <w:r>
        <w:rPr>
          <w:rFonts w:cs="Arial"/>
          <w:i/>
          <w:sz w:val="14"/>
          <w:szCs w:val="14"/>
        </w:rPr>
        <w:tab/>
      </w:r>
      <w:r w:rsidRPr="00737145">
        <w:rPr>
          <w:rFonts w:cs="Arial"/>
          <w:b w:val="0"/>
          <w:i/>
          <w:sz w:val="14"/>
          <w:szCs w:val="14"/>
        </w:rPr>
        <w:t>Be</w:t>
      </w:r>
      <w:r>
        <w:rPr>
          <w:rFonts w:cs="Arial"/>
          <w:b w:val="0"/>
          <w:i/>
          <w:sz w:val="14"/>
          <w:szCs w:val="14"/>
        </w:rPr>
        <w:t xml:space="preserve">rechnung des „Marktpreises“ des Baustoffes </w:t>
      </w:r>
      <w:r w:rsidRPr="00737145">
        <w:rPr>
          <w:rFonts w:cs="Arial"/>
          <w:b w:val="0"/>
          <w:i/>
          <w:sz w:val="14"/>
          <w:szCs w:val="14"/>
        </w:rPr>
        <w:t xml:space="preserve">zum Zeitpunkt „Einbau“ bzw. „Verwendung“: </w:t>
      </w:r>
    </w:p>
    <w:p w14:paraId="5928CE42" w14:textId="77777777" w:rsidR="00211B19" w:rsidRPr="00F73CAA" w:rsidRDefault="00211B19" w:rsidP="00211B19">
      <w:pPr>
        <w:pStyle w:val="Textkrper"/>
        <w:numPr>
          <w:ilvl w:val="0"/>
          <w:numId w:val="6"/>
        </w:numPr>
        <w:tabs>
          <w:tab w:val="clear" w:pos="720"/>
        </w:tabs>
        <w:spacing w:after="0"/>
        <w:ind w:left="966" w:firstLine="1"/>
        <w:rPr>
          <w:rFonts w:cs="Arial"/>
          <w:i/>
          <w:iCs/>
          <w:sz w:val="14"/>
          <w:szCs w:val="14"/>
        </w:rPr>
      </w:pPr>
      <w:r w:rsidRPr="00F73CAA">
        <w:rPr>
          <w:rFonts w:cs="Arial"/>
          <w:i/>
          <w:iCs/>
          <w:sz w:val="14"/>
          <w:szCs w:val="14"/>
        </w:rPr>
        <w:t xml:space="preserve">Zeitpunkt Angebotsabgabe: </w:t>
      </w:r>
      <w:r w:rsidRPr="00F73CAA">
        <w:rPr>
          <w:rFonts w:cs="Arial"/>
          <w:i/>
          <w:iCs/>
          <w:sz w:val="14"/>
          <w:szCs w:val="14"/>
        </w:rPr>
        <w:tab/>
      </w:r>
      <w:r w:rsidRPr="00F73CAA">
        <w:rPr>
          <w:rFonts w:cs="Arial"/>
          <w:i/>
          <w:iCs/>
          <w:sz w:val="14"/>
          <w:szCs w:val="14"/>
        </w:rPr>
        <w:tab/>
      </w:r>
      <w:r w:rsidRPr="00F73CAA">
        <w:rPr>
          <w:rFonts w:cs="Arial"/>
          <w:i/>
          <w:iCs/>
          <w:sz w:val="14"/>
          <w:szCs w:val="14"/>
        </w:rPr>
        <w:tab/>
      </w:r>
      <w:r w:rsidRPr="00F73CAA">
        <w:rPr>
          <w:rFonts w:cs="Arial"/>
          <w:i/>
          <w:iCs/>
          <w:sz w:val="14"/>
          <w:szCs w:val="14"/>
        </w:rPr>
        <w:tab/>
      </w:r>
      <w:r>
        <w:rPr>
          <w:rFonts w:cs="Arial"/>
          <w:b/>
          <w:i/>
          <w:iCs/>
          <w:sz w:val="14"/>
          <w:szCs w:val="14"/>
        </w:rPr>
        <w:t>Juni 2021</w:t>
      </w:r>
    </w:p>
    <w:p w14:paraId="0D7DA61A" w14:textId="77777777" w:rsidR="00211B19" w:rsidRPr="00737145" w:rsidRDefault="00211B19" w:rsidP="00211B19">
      <w:pPr>
        <w:pStyle w:val="Textkrper"/>
        <w:spacing w:after="0"/>
        <w:ind w:left="966" w:firstLine="1"/>
        <w:rPr>
          <w:rFonts w:cs="Arial"/>
          <w:b/>
          <w:i/>
          <w:iCs/>
          <w:sz w:val="14"/>
          <w:szCs w:val="14"/>
        </w:rPr>
      </w:pPr>
      <w:r w:rsidRPr="00E64C39">
        <w:rPr>
          <w:rFonts w:cs="Arial"/>
          <w:i/>
          <w:iCs/>
          <w:sz w:val="14"/>
          <w:szCs w:val="14"/>
        </w:rPr>
        <w:t>2.</w:t>
      </w:r>
      <w:r w:rsidRPr="00E64C39">
        <w:rPr>
          <w:rFonts w:cs="Arial"/>
          <w:i/>
          <w:iCs/>
          <w:sz w:val="14"/>
          <w:szCs w:val="14"/>
        </w:rPr>
        <w:tab/>
        <w:t>„</w:t>
      </w:r>
      <w:r w:rsidRPr="00F73CAA">
        <w:rPr>
          <w:rFonts w:cs="Arial"/>
          <w:i/>
          <w:iCs/>
          <w:sz w:val="14"/>
          <w:szCs w:val="14"/>
        </w:rPr>
        <w:t xml:space="preserve">Marktpreis“ zum Zeitpunkt der Angebotsabgabe: </w:t>
      </w:r>
      <w:r w:rsidRPr="00F73CAA">
        <w:rPr>
          <w:rFonts w:cs="Arial"/>
          <w:i/>
          <w:iCs/>
          <w:sz w:val="14"/>
          <w:szCs w:val="14"/>
        </w:rPr>
        <w:tab/>
      </w:r>
      <w:r w:rsidRPr="00F73CAA">
        <w:rPr>
          <w:rFonts w:cs="Arial"/>
          <w:i/>
          <w:iCs/>
          <w:sz w:val="14"/>
          <w:szCs w:val="14"/>
        </w:rPr>
        <w:tab/>
      </w:r>
      <w:r w:rsidRPr="00F73CAA">
        <w:rPr>
          <w:rFonts w:cs="Arial"/>
          <w:b/>
          <w:i/>
          <w:iCs/>
          <w:sz w:val="14"/>
          <w:szCs w:val="14"/>
        </w:rPr>
        <w:t>330</w:t>
      </w:r>
      <w:r w:rsidRPr="00F73CAA">
        <w:rPr>
          <w:rFonts w:cs="Arial"/>
          <w:b/>
          <w:bCs/>
          <w:i/>
          <w:iCs/>
          <w:sz w:val="14"/>
          <w:szCs w:val="14"/>
        </w:rPr>
        <w:t>,00 €/t</w:t>
      </w:r>
    </w:p>
    <w:p w14:paraId="2859EB0B" w14:textId="77777777" w:rsidR="00211B19" w:rsidRPr="00737145" w:rsidRDefault="00211B19" w:rsidP="00211B19">
      <w:pPr>
        <w:pStyle w:val="Textkrper"/>
        <w:spacing w:after="0"/>
        <w:ind w:left="966" w:firstLine="1"/>
        <w:rPr>
          <w:rFonts w:cs="Arial"/>
          <w:i/>
          <w:iCs/>
          <w:sz w:val="14"/>
          <w:szCs w:val="14"/>
        </w:rPr>
      </w:pPr>
      <w:r w:rsidRPr="00737145">
        <w:rPr>
          <w:rFonts w:cs="Arial"/>
          <w:i/>
          <w:iCs/>
          <w:sz w:val="14"/>
          <w:szCs w:val="14"/>
        </w:rPr>
        <w:t>3.</w:t>
      </w:r>
      <w:r w:rsidRPr="00737145">
        <w:rPr>
          <w:rFonts w:cs="Arial"/>
          <w:i/>
          <w:iCs/>
          <w:sz w:val="14"/>
          <w:szCs w:val="14"/>
        </w:rPr>
        <w:tab/>
        <w:t xml:space="preserve">Index </w:t>
      </w:r>
      <w:r>
        <w:rPr>
          <w:rFonts w:cs="Arial"/>
          <w:i/>
          <w:iCs/>
          <w:sz w:val="14"/>
          <w:szCs w:val="14"/>
        </w:rPr>
        <w:t>Juni 2021</w:t>
      </w:r>
      <w:r w:rsidRPr="00737145">
        <w:rPr>
          <w:rFonts w:cs="Arial"/>
          <w:i/>
          <w:iCs/>
          <w:sz w:val="14"/>
          <w:szCs w:val="14"/>
        </w:rPr>
        <w:t xml:space="preserve">: </w:t>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b/>
          <w:i/>
          <w:iCs/>
          <w:sz w:val="14"/>
          <w:szCs w:val="14"/>
        </w:rPr>
        <w:t>230,60</w:t>
      </w:r>
    </w:p>
    <w:p w14:paraId="1C9AD64C" w14:textId="77777777" w:rsidR="00211B19" w:rsidRPr="00737145" w:rsidRDefault="00211B19" w:rsidP="00211B19">
      <w:pPr>
        <w:ind w:left="966" w:firstLine="1"/>
        <w:rPr>
          <w:rFonts w:ascii="Arial" w:hAnsi="Arial" w:cs="Arial"/>
          <w:i/>
          <w:sz w:val="14"/>
          <w:szCs w:val="14"/>
        </w:rPr>
      </w:pPr>
      <w:r w:rsidRPr="00737145">
        <w:rPr>
          <w:rFonts w:ascii="Arial" w:hAnsi="Arial" w:cs="Arial"/>
          <w:i/>
          <w:sz w:val="14"/>
          <w:szCs w:val="14"/>
        </w:rPr>
        <w:t>4.</w:t>
      </w:r>
      <w:r w:rsidRPr="00737145">
        <w:rPr>
          <w:rFonts w:ascii="Arial" w:hAnsi="Arial" w:cs="Arial"/>
          <w:i/>
          <w:sz w:val="14"/>
          <w:szCs w:val="14"/>
        </w:rPr>
        <w:tab/>
        <w:t xml:space="preserve">Zeitpunkt Lieferung bzw. Verwendung: </w:t>
      </w:r>
      <w:r w:rsidRPr="00737145">
        <w:rPr>
          <w:rFonts w:ascii="Arial" w:hAnsi="Arial" w:cs="Arial"/>
          <w:i/>
          <w:sz w:val="14"/>
          <w:szCs w:val="14"/>
        </w:rPr>
        <w:tab/>
      </w:r>
      <w:r w:rsidRPr="00737145">
        <w:rPr>
          <w:rFonts w:ascii="Arial" w:hAnsi="Arial" w:cs="Arial"/>
          <w:i/>
          <w:sz w:val="14"/>
          <w:szCs w:val="14"/>
        </w:rPr>
        <w:tab/>
      </w:r>
      <w:r w:rsidRPr="00737145">
        <w:rPr>
          <w:rFonts w:ascii="Arial" w:hAnsi="Arial" w:cs="Arial"/>
          <w:i/>
          <w:sz w:val="14"/>
          <w:szCs w:val="14"/>
        </w:rPr>
        <w:tab/>
      </w:r>
      <w:r w:rsidRPr="00CD45BE">
        <w:rPr>
          <w:rFonts w:ascii="Arial" w:hAnsi="Arial" w:cs="Arial"/>
          <w:b/>
          <w:i/>
          <w:sz w:val="14"/>
          <w:szCs w:val="14"/>
        </w:rPr>
        <w:t>Juni 2022</w:t>
      </w:r>
    </w:p>
    <w:p w14:paraId="7B1BD827" w14:textId="77777777" w:rsidR="00211B19" w:rsidRPr="00737145" w:rsidRDefault="00211B19" w:rsidP="00211B19">
      <w:pPr>
        <w:pStyle w:val="Textkrper"/>
        <w:spacing w:after="0"/>
        <w:ind w:left="966" w:firstLine="1"/>
        <w:rPr>
          <w:rFonts w:cs="Arial"/>
          <w:i/>
          <w:iCs/>
          <w:sz w:val="14"/>
          <w:szCs w:val="14"/>
        </w:rPr>
      </w:pPr>
      <w:r>
        <w:rPr>
          <w:rFonts w:cs="Arial"/>
          <w:i/>
          <w:iCs/>
          <w:sz w:val="14"/>
          <w:szCs w:val="14"/>
        </w:rPr>
        <w:t>5.</w:t>
      </w:r>
      <w:r>
        <w:rPr>
          <w:rFonts w:cs="Arial"/>
          <w:i/>
          <w:iCs/>
          <w:sz w:val="14"/>
          <w:szCs w:val="14"/>
        </w:rPr>
        <w:tab/>
        <w:t>Index Juni 2022</w:t>
      </w:r>
      <w:r w:rsidRPr="00737145">
        <w:rPr>
          <w:rFonts w:cs="Arial"/>
          <w:i/>
          <w:iCs/>
          <w:sz w:val="14"/>
          <w:szCs w:val="14"/>
        </w:rPr>
        <w:t xml:space="preserve"> </w:t>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i/>
          <w:iCs/>
          <w:sz w:val="14"/>
          <w:szCs w:val="14"/>
        </w:rPr>
        <w:tab/>
      </w:r>
      <w:r w:rsidRPr="00737145">
        <w:rPr>
          <w:rFonts w:cs="Arial"/>
          <w:b/>
          <w:i/>
          <w:iCs/>
          <w:sz w:val="14"/>
          <w:szCs w:val="14"/>
        </w:rPr>
        <w:t>259,60</w:t>
      </w:r>
    </w:p>
    <w:p w14:paraId="7640595C" w14:textId="77777777" w:rsidR="00211B19" w:rsidRPr="00737145" w:rsidRDefault="00211B19" w:rsidP="00211B19">
      <w:pPr>
        <w:pStyle w:val="Textkrper"/>
        <w:tabs>
          <w:tab w:val="left" w:pos="1418"/>
        </w:tabs>
        <w:spacing w:after="0"/>
        <w:ind w:left="966" w:firstLine="1"/>
        <w:rPr>
          <w:rFonts w:cs="Arial"/>
          <w:i/>
          <w:iCs/>
          <w:sz w:val="14"/>
          <w:szCs w:val="14"/>
        </w:rPr>
      </w:pPr>
      <w:r w:rsidRPr="00737145">
        <w:rPr>
          <w:rFonts w:cs="Arial"/>
          <w:i/>
          <w:iCs/>
          <w:sz w:val="14"/>
          <w:szCs w:val="14"/>
        </w:rPr>
        <w:t>6.</w:t>
      </w:r>
      <w:r>
        <w:rPr>
          <w:rFonts w:cs="Arial"/>
          <w:i/>
          <w:iCs/>
          <w:sz w:val="14"/>
          <w:szCs w:val="14"/>
        </w:rPr>
        <w:tab/>
      </w:r>
      <w:r w:rsidRPr="00737145">
        <w:rPr>
          <w:rFonts w:cs="Arial"/>
          <w:i/>
          <w:iCs/>
          <w:sz w:val="14"/>
          <w:szCs w:val="14"/>
        </w:rPr>
        <w:t xml:space="preserve">Rechnung: </w:t>
      </w:r>
      <w:r w:rsidRPr="00737145">
        <w:rPr>
          <w:rFonts w:cs="Arial"/>
          <w:i/>
          <w:iCs/>
          <w:sz w:val="14"/>
          <w:szCs w:val="14"/>
        </w:rPr>
        <w:tab/>
      </w:r>
      <w:r w:rsidRPr="00737145">
        <w:rPr>
          <w:rFonts w:cs="Arial"/>
          <w:i/>
          <w:iCs/>
          <w:sz w:val="14"/>
          <w:szCs w:val="14"/>
        </w:rPr>
        <w:tab/>
        <w:t xml:space="preserve">(259,60/230,6) × 100 - 100 = 12,56 % </w:t>
      </w:r>
    </w:p>
    <w:p w14:paraId="1DB10EBE" w14:textId="77777777" w:rsidR="00211B19" w:rsidRPr="00737145" w:rsidRDefault="00211B19" w:rsidP="00211B19">
      <w:pPr>
        <w:pStyle w:val="Textkrper"/>
        <w:spacing w:after="0"/>
        <w:ind w:left="2978" w:firstLine="567"/>
        <w:rPr>
          <w:rFonts w:cs="Arial"/>
          <w:i/>
          <w:iCs/>
          <w:sz w:val="14"/>
          <w:szCs w:val="14"/>
        </w:rPr>
      </w:pPr>
      <w:r w:rsidRPr="00737145">
        <w:rPr>
          <w:rFonts w:cs="Arial"/>
          <w:i/>
          <w:iCs/>
          <w:sz w:val="14"/>
          <w:szCs w:val="14"/>
        </w:rPr>
        <w:t xml:space="preserve">330,00 €/t × 1,1256 = </w:t>
      </w:r>
      <w:r w:rsidRPr="00737145">
        <w:rPr>
          <w:rFonts w:cs="Arial"/>
          <w:b/>
          <w:i/>
          <w:iCs/>
          <w:sz w:val="14"/>
          <w:szCs w:val="14"/>
        </w:rPr>
        <w:t xml:space="preserve">371,45 €/t </w:t>
      </w:r>
    </w:p>
    <w:p w14:paraId="2C8F4D4A" w14:textId="77777777" w:rsidR="00211B19" w:rsidRPr="00737145" w:rsidRDefault="00211B19" w:rsidP="00211B19">
      <w:pPr>
        <w:pStyle w:val="Textkrper"/>
        <w:snapToGrid w:val="0"/>
        <w:spacing w:after="0"/>
        <w:ind w:left="851" w:firstLine="567"/>
        <w:rPr>
          <w:rFonts w:cs="Arial"/>
          <w:b/>
          <w:i/>
          <w:iCs/>
          <w:sz w:val="14"/>
          <w:szCs w:val="14"/>
        </w:rPr>
      </w:pPr>
      <w:r w:rsidRPr="00737145">
        <w:rPr>
          <w:rFonts w:cs="Arial"/>
          <w:i/>
          <w:iCs/>
          <w:sz w:val="14"/>
          <w:szCs w:val="14"/>
        </w:rPr>
        <w:t xml:space="preserve">Mehraufwendungen: </w:t>
      </w:r>
      <w:r>
        <w:rPr>
          <w:rFonts w:cs="Arial"/>
          <w:i/>
          <w:iCs/>
          <w:sz w:val="14"/>
          <w:szCs w:val="14"/>
        </w:rPr>
        <w:tab/>
      </w:r>
      <w:r>
        <w:rPr>
          <w:rFonts w:cs="Arial"/>
          <w:i/>
          <w:iCs/>
          <w:sz w:val="14"/>
          <w:szCs w:val="14"/>
        </w:rPr>
        <w:tab/>
      </w:r>
      <w:r w:rsidRPr="00737145">
        <w:rPr>
          <w:rFonts w:cs="Arial"/>
          <w:i/>
          <w:iCs/>
          <w:sz w:val="14"/>
          <w:szCs w:val="14"/>
        </w:rPr>
        <w:t xml:space="preserve">371,45 €/t - 330,00 €/t = </w:t>
      </w:r>
      <w:r w:rsidRPr="00737145">
        <w:rPr>
          <w:rFonts w:cs="Arial"/>
          <w:b/>
          <w:i/>
          <w:iCs/>
          <w:sz w:val="14"/>
          <w:szCs w:val="14"/>
        </w:rPr>
        <w:t>41,45 €/t</w:t>
      </w:r>
    </w:p>
    <w:p w14:paraId="58352675" w14:textId="4EA951D9" w:rsidR="001737F7" w:rsidRPr="00737145" w:rsidRDefault="00211B19" w:rsidP="002943C3">
      <w:pPr>
        <w:snapToGrid w:val="0"/>
        <w:ind w:left="851" w:firstLine="567"/>
        <w:jc w:val="both"/>
        <w:rPr>
          <w:rFonts w:ascii="Arial" w:hAnsi="Arial" w:cs="Arial"/>
          <w:i/>
          <w:sz w:val="14"/>
          <w:szCs w:val="14"/>
        </w:rPr>
      </w:pPr>
      <w:r w:rsidRPr="00737145">
        <w:rPr>
          <w:rFonts w:ascii="Arial" w:hAnsi="Arial" w:cs="Arial"/>
          <w:i/>
          <w:iCs/>
          <w:sz w:val="14"/>
          <w:szCs w:val="14"/>
        </w:rPr>
        <w:t>(Zur Berechnung der Selbstbeteiligung des Auftragnehmers siehe oben Nr. 4.)</w:t>
      </w:r>
    </w:p>
    <w:sectPr w:rsidR="001737F7" w:rsidRPr="00737145" w:rsidSect="00F27392">
      <w:headerReference w:type="default" r:id="rId13"/>
      <w:footerReference w:type="even" r:id="rId14"/>
      <w:footerReference w:type="default" r:id="rId15"/>
      <w:pgSz w:w="11907" w:h="16840" w:code="9"/>
      <w:pgMar w:top="1134" w:right="1134" w:bottom="1418" w:left="1134" w:header="284" w:footer="964"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51575" w14:textId="77777777" w:rsidR="005D02A2" w:rsidRDefault="005D02A2">
      <w:r>
        <w:separator/>
      </w:r>
    </w:p>
  </w:endnote>
  <w:endnote w:type="continuationSeparator" w:id="0">
    <w:p w14:paraId="46C36C8F" w14:textId="77777777" w:rsidR="005D02A2" w:rsidRDefault="005D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B2C7" w14:textId="7C9AD4D0" w:rsidR="00634FDB" w:rsidRDefault="00634FDB">
    <w:pPr>
      <w:pStyle w:val="Fuzeile"/>
      <w:tabs>
        <w:tab w:val="clear" w:pos="4536"/>
        <w:tab w:val="clear" w:pos="9072"/>
        <w:tab w:val="right" w:pos="9639"/>
      </w:tabs>
      <w:rPr>
        <w:rFonts w:ascii="Arial" w:hAnsi="Arial"/>
        <w:sz w:val="18"/>
      </w:rPr>
    </w:pPr>
    <w:r>
      <w:rPr>
        <w:rFonts w:ascii="Arial" w:hAnsi="Arial"/>
        <w:sz w:val="18"/>
      </w:rPr>
      <w:t>Stoffpreisgleitklausel – 06/2021</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943C3">
      <w:rPr>
        <w:rFonts w:ascii="Arial" w:hAnsi="Arial"/>
        <w:noProof/>
        <w:sz w:val="18"/>
      </w:rPr>
      <w:t>1</w:t>
    </w:r>
    <w:r>
      <w:rPr>
        <w:rFonts w:ascii="Arial" w:hAnsi="Arial"/>
        <w:sz w:val="18"/>
      </w:rPr>
      <w:fldChar w:fldCharType="end"/>
    </w:r>
    <w:r>
      <w:rPr>
        <w:rFonts w:ascii="Arial" w:hAnsi="Arial"/>
        <w:sz w:val="18"/>
      </w:rPr>
      <w:t xml:space="preserve"> von </w:t>
    </w:r>
    <w:r>
      <w:rPr>
        <w:rFonts w:ascii="Arial" w:hAnsi="Arial"/>
        <w:sz w:val="18"/>
      </w:rPr>
      <w:fldChar w:fldCharType="begin"/>
    </w:r>
    <w:r>
      <w:rPr>
        <w:rFonts w:ascii="Arial" w:hAnsi="Arial"/>
        <w:sz w:val="18"/>
      </w:rPr>
      <w:instrText xml:space="preserve"> NUMPAGES  \* MERGEFORMAT </w:instrText>
    </w:r>
    <w:r>
      <w:rPr>
        <w:rFonts w:ascii="Arial" w:hAnsi="Arial"/>
        <w:sz w:val="18"/>
      </w:rPr>
      <w:fldChar w:fldCharType="separate"/>
    </w:r>
    <w:r w:rsidR="002943C3">
      <w:rPr>
        <w:rFonts w:ascii="Arial" w:hAnsi="Arial"/>
        <w:noProof/>
        <w:sz w:val="18"/>
      </w:rPr>
      <w:t>2</w:t>
    </w:r>
    <w:r>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A3C7" w14:textId="634C8204" w:rsidR="00634FDB" w:rsidRPr="006715E5" w:rsidRDefault="00634FDB" w:rsidP="006715E5">
    <w:pPr>
      <w:pStyle w:val="Fuzeile"/>
      <w:tabs>
        <w:tab w:val="clear" w:pos="4536"/>
        <w:tab w:val="clear" w:pos="9072"/>
        <w:tab w:val="right" w:pos="9639"/>
      </w:tabs>
      <w:rPr>
        <w:rFonts w:ascii="Arial" w:hAnsi="Arial"/>
        <w:sz w:val="18"/>
      </w:rPr>
    </w:pPr>
    <w:r w:rsidRPr="00D14EFC">
      <w:rPr>
        <w:rFonts w:ascii="Arial" w:hAnsi="Arial"/>
        <w:sz w:val="18"/>
      </w:rPr>
      <w:t>S</w:t>
    </w:r>
    <w:r>
      <w:rPr>
        <w:rFonts w:ascii="Arial" w:hAnsi="Arial"/>
        <w:sz w:val="18"/>
      </w:rPr>
      <w:t>toffpreisgleitklausel – 6/2021</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943C3">
      <w:rPr>
        <w:rFonts w:ascii="Arial" w:hAnsi="Arial"/>
        <w:noProof/>
        <w:sz w:val="18"/>
      </w:rPr>
      <w:t>2</w:t>
    </w:r>
    <w:r>
      <w:rPr>
        <w:rFonts w:ascii="Arial" w:hAnsi="Arial"/>
        <w:sz w:val="18"/>
      </w:rPr>
      <w:fldChar w:fldCharType="end"/>
    </w:r>
    <w:r>
      <w:rPr>
        <w:rFonts w:ascii="Arial" w:hAnsi="Arial"/>
        <w:sz w:val="18"/>
      </w:rPr>
      <w:t xml:space="preserve"> von </w:t>
    </w:r>
    <w:r>
      <w:rPr>
        <w:rFonts w:ascii="Arial" w:hAnsi="Arial"/>
        <w:sz w:val="18"/>
      </w:rPr>
      <w:fldChar w:fldCharType="begin"/>
    </w:r>
    <w:r>
      <w:rPr>
        <w:rFonts w:ascii="Arial" w:hAnsi="Arial"/>
        <w:sz w:val="18"/>
      </w:rPr>
      <w:instrText xml:space="preserve"> NUMPAGES  \* MERGEFORMAT </w:instrText>
    </w:r>
    <w:r>
      <w:rPr>
        <w:rFonts w:ascii="Arial" w:hAnsi="Arial"/>
        <w:sz w:val="18"/>
      </w:rPr>
      <w:fldChar w:fldCharType="separate"/>
    </w:r>
    <w:r w:rsidR="002943C3">
      <w:rPr>
        <w:rFonts w:ascii="Arial" w:hAnsi="Arial"/>
        <w:noProof/>
        <w:sz w:val="18"/>
      </w:rPr>
      <w:t>2</w:t>
    </w:r>
    <w:r>
      <w:rPr>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DB85E" w14:textId="77777777" w:rsidR="00634FDB" w:rsidRPr="006715E5" w:rsidRDefault="00634FDB" w:rsidP="006715E5">
    <w:pPr>
      <w:pStyle w:val="Fuzeile"/>
      <w:tabs>
        <w:tab w:val="clear" w:pos="4536"/>
        <w:tab w:val="clear" w:pos="9072"/>
        <w:tab w:val="right" w:pos="9639"/>
      </w:tabs>
      <w:rPr>
        <w:rFonts w:ascii="Arial" w:hAnsi="Arial"/>
        <w:sz w:val="18"/>
      </w:rPr>
    </w:pPr>
    <w:r>
      <w:rPr>
        <w:rFonts w:ascii="Arial" w:hAnsi="Arial"/>
        <w:sz w:val="18"/>
      </w:rPr>
      <w:t>Stoffpreisgleitklausel – 05/2015</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11B19">
      <w:rPr>
        <w:rFonts w:ascii="Arial" w:hAnsi="Arial"/>
        <w:noProof/>
        <w:sz w:val="18"/>
      </w:rPr>
      <w:t>3</w:t>
    </w:r>
    <w:r>
      <w:rPr>
        <w:rFonts w:ascii="Arial" w:hAnsi="Arial"/>
        <w:sz w:val="18"/>
      </w:rPr>
      <w:fldChar w:fldCharType="end"/>
    </w:r>
    <w:r>
      <w:rPr>
        <w:rFonts w:ascii="Arial" w:hAnsi="Arial"/>
        <w:sz w:val="18"/>
      </w:rPr>
      <w:t xml:space="preserve"> von </w:t>
    </w:r>
    <w:r>
      <w:rPr>
        <w:rFonts w:ascii="Arial" w:hAnsi="Arial"/>
        <w:sz w:val="18"/>
      </w:rPr>
      <w:fldChar w:fldCharType="begin"/>
    </w:r>
    <w:r>
      <w:rPr>
        <w:rFonts w:ascii="Arial" w:hAnsi="Arial"/>
        <w:sz w:val="18"/>
      </w:rPr>
      <w:instrText xml:space="preserve"> NUMPAGES  \* MERGEFORMAT </w:instrText>
    </w:r>
    <w:r>
      <w:rPr>
        <w:rFonts w:ascii="Arial" w:hAnsi="Arial"/>
        <w:sz w:val="18"/>
      </w:rPr>
      <w:fldChar w:fldCharType="separate"/>
    </w:r>
    <w:r w:rsidR="00211B19">
      <w:rPr>
        <w:rFonts w:ascii="Arial" w:hAnsi="Arial"/>
        <w:noProof/>
        <w:sz w:val="18"/>
      </w:rPr>
      <w:t>3</w:t>
    </w:r>
    <w:r>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331F6" w14:textId="77777777" w:rsidR="005D02A2" w:rsidRDefault="005D02A2">
      <w:r>
        <w:separator/>
      </w:r>
    </w:p>
  </w:footnote>
  <w:footnote w:type="continuationSeparator" w:id="0">
    <w:p w14:paraId="69AF77E2" w14:textId="77777777" w:rsidR="005D02A2" w:rsidRDefault="005D02A2">
      <w:r>
        <w:continuationSeparator/>
      </w:r>
    </w:p>
  </w:footnote>
  <w:footnote w:id="1">
    <w:p w14:paraId="34049D23" w14:textId="35A8D0F6" w:rsidR="00211B19" w:rsidRDefault="00211B19">
      <w:pPr>
        <w:pStyle w:val="Funotentext"/>
      </w:pPr>
      <w:r>
        <w:rPr>
          <w:rStyle w:val="Funotenzeichen"/>
        </w:rPr>
        <w:footnoteRef/>
      </w:r>
      <w:r>
        <w:t xml:space="preserve"> </w:t>
      </w:r>
      <w:r w:rsidRPr="00D9403E">
        <w:rPr>
          <w:rFonts w:ascii="Arial" w:hAnsi="Arial" w:cs="Arial"/>
          <w:sz w:val="16"/>
          <w:szCs w:val="16"/>
        </w:rPr>
        <w:t>Bekanntmachung des B</w:t>
      </w:r>
      <w:r>
        <w:rPr>
          <w:rFonts w:ascii="Arial" w:hAnsi="Arial" w:cs="Arial"/>
          <w:sz w:val="16"/>
          <w:szCs w:val="16"/>
        </w:rPr>
        <w:t>MWF v.</w:t>
      </w:r>
      <w:r w:rsidRPr="00D9403E">
        <w:rPr>
          <w:rFonts w:ascii="Arial" w:hAnsi="Arial" w:cs="Arial"/>
          <w:sz w:val="16"/>
          <w:szCs w:val="16"/>
        </w:rPr>
        <w:t xml:space="preserve"> 04.05.1972 im Anhang 4 des Vergabe- und Vertragshandbuchs für die Baumaßnahmen de</w:t>
      </w:r>
      <w:r>
        <w:rPr>
          <w:rFonts w:ascii="Arial" w:hAnsi="Arial" w:cs="Arial"/>
          <w:sz w:val="16"/>
          <w:szCs w:val="16"/>
        </w:rPr>
        <w:t>s Bundes – VHB 2017;</w:t>
      </w:r>
      <w:r w:rsidRPr="00D9403E">
        <w:rPr>
          <w:rFonts w:ascii="Arial" w:hAnsi="Arial" w:cs="Arial"/>
          <w:sz w:val="16"/>
          <w:szCs w:val="16"/>
        </w:rPr>
        <w:t xml:space="preserve"> abrufbar unter </w:t>
      </w:r>
      <w:hyperlink r:id="rId1" w:history="1">
        <w:r w:rsidRPr="00DE2102">
          <w:rPr>
            <w:rStyle w:val="Hyperlink"/>
            <w:rFonts w:ascii="Arial" w:hAnsi="Arial" w:cs="Arial"/>
            <w:sz w:val="16"/>
            <w:szCs w:val="16"/>
          </w:rPr>
          <w:t>https://www.fib-bund.de/Inhalt/Vergabe/VHB</w:t>
        </w:r>
      </w:hyperlink>
      <w:r>
        <w:rPr>
          <w:rFonts w:ascii="Arial" w:hAnsi="Arial" w:cs="Arial"/>
          <w:sz w:val="16"/>
          <w:szCs w:val="16"/>
        </w:rPr>
        <w:t>, Anhang 4 auf S. 521-522.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4BF4" w14:textId="77777777" w:rsidR="00634FDB" w:rsidRPr="00D14EFC" w:rsidRDefault="00634FDB" w:rsidP="006715E5">
    <w:pPr>
      <w:pStyle w:val="Kopfzeile"/>
      <w:tabs>
        <w:tab w:val="clear" w:pos="4536"/>
        <w:tab w:val="clear" w:pos="9072"/>
      </w:tabs>
      <w:spacing w:before="120"/>
      <w:jc w:val="right"/>
      <w:rPr>
        <w:rFonts w:ascii="Arial" w:hAnsi="Arial" w:cs="Arial"/>
        <w:b/>
        <w:sz w:val="18"/>
        <w:szCs w:val="18"/>
      </w:rPr>
    </w:pPr>
    <w:r w:rsidRPr="00D2292E">
      <w:rPr>
        <w:rFonts w:ascii="Arial" w:hAnsi="Arial" w:cs="Arial"/>
        <w:b/>
        <w:sz w:val="18"/>
        <w:szCs w:val="18"/>
      </w:rPr>
      <w:t>V</w:t>
    </w:r>
    <w:r>
      <w:rPr>
        <w:rFonts w:ascii="Arial" w:hAnsi="Arial" w:cs="Arial"/>
        <w:b/>
        <w:sz w:val="18"/>
        <w:szCs w:val="18"/>
      </w:rPr>
      <w:t xml:space="preserve">V-Bau </w:t>
    </w:r>
    <w:r w:rsidRPr="00D14EFC">
      <w:rPr>
        <w:rFonts w:ascii="Arial" w:hAnsi="Arial" w:cs="Arial"/>
        <w:b/>
        <w:sz w:val="18"/>
        <w:szCs w:val="18"/>
      </w:rPr>
      <w:t>Anlage 6-</w:t>
    </w:r>
    <w:r>
      <w:rPr>
        <w:rFonts w:ascii="Arial" w:hAnsi="Arial" w:cs="Arial"/>
        <w:b/>
        <w:sz w:val="18"/>
        <w:szCs w:val="18"/>
      </w:rPr>
      <w:t>121</w:t>
    </w:r>
  </w:p>
  <w:p w14:paraId="7ADA8177" w14:textId="77777777" w:rsidR="00634FDB" w:rsidRPr="006715E5" w:rsidRDefault="00634FDB" w:rsidP="006715E5">
    <w:pPr>
      <w:pStyle w:val="Kopfzeile"/>
      <w:tabs>
        <w:tab w:val="clear" w:pos="4536"/>
        <w:tab w:val="clear" w:pos="9072"/>
      </w:tabs>
      <w:snapToGrid w:val="0"/>
      <w:jc w:val="right"/>
      <w:rPr>
        <w:rFonts w:ascii="Arial" w:hAnsi="Arial" w:cs="Arial"/>
      </w:rPr>
    </w:pPr>
    <w:r>
      <w:rPr>
        <w:rFonts w:ascii="Arial" w:hAnsi="Arial" w:cs="Arial"/>
        <w:sz w:val="18"/>
        <w:szCs w:val="18"/>
      </w:rPr>
      <w:t>Stoffpreisgl</w:t>
    </w:r>
    <w:r w:rsidRPr="00D2292E">
      <w:rPr>
        <w:rFonts w:ascii="Arial" w:hAnsi="Arial" w:cs="Arial"/>
        <w:sz w:val="18"/>
        <w:szCs w:val="18"/>
      </w:rPr>
      <w:t>eitklausel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8BD6" w14:textId="77777777" w:rsidR="00634FDB" w:rsidRPr="00D14EFC" w:rsidRDefault="00634FDB" w:rsidP="00D2292E">
    <w:pPr>
      <w:pStyle w:val="Kopfzeile"/>
      <w:tabs>
        <w:tab w:val="clear" w:pos="4536"/>
        <w:tab w:val="clear" w:pos="9072"/>
      </w:tabs>
      <w:spacing w:before="120"/>
      <w:jc w:val="right"/>
      <w:rPr>
        <w:rFonts w:ascii="Arial" w:hAnsi="Arial" w:cs="Arial"/>
        <w:b/>
        <w:sz w:val="18"/>
        <w:szCs w:val="18"/>
      </w:rPr>
    </w:pPr>
    <w:r w:rsidRPr="00D14EFC">
      <w:rPr>
        <w:rFonts w:ascii="Arial" w:hAnsi="Arial" w:cs="Arial"/>
        <w:b/>
      </w:rPr>
      <w:tab/>
    </w:r>
    <w:r w:rsidRPr="00D14EFC">
      <w:rPr>
        <w:rFonts w:ascii="Arial" w:hAnsi="Arial" w:cs="Arial"/>
        <w:b/>
      </w:rPr>
      <w:tab/>
    </w:r>
    <w:r w:rsidRPr="00D14EFC">
      <w:rPr>
        <w:rFonts w:ascii="Arial" w:hAnsi="Arial" w:cs="Arial"/>
        <w:b/>
        <w:sz w:val="18"/>
        <w:szCs w:val="18"/>
      </w:rPr>
      <w:t>VV-Bau Anlage 6-121</w:t>
    </w:r>
  </w:p>
  <w:p w14:paraId="240C56BA" w14:textId="77777777" w:rsidR="00634FDB" w:rsidRPr="00D2292E" w:rsidRDefault="00634FDB" w:rsidP="00D2292E">
    <w:pPr>
      <w:pStyle w:val="Kopfzeile"/>
      <w:tabs>
        <w:tab w:val="clear" w:pos="4536"/>
        <w:tab w:val="clear" w:pos="9072"/>
      </w:tabs>
      <w:snapToGrid w:val="0"/>
      <w:jc w:val="right"/>
      <w:rPr>
        <w:rFonts w:ascii="Arial" w:hAnsi="Arial" w:cs="Arial"/>
      </w:rPr>
    </w:pPr>
    <w:r>
      <w:rPr>
        <w:rFonts w:ascii="Arial" w:hAnsi="Arial" w:cs="Arial"/>
        <w:sz w:val="18"/>
        <w:szCs w:val="18"/>
      </w:rPr>
      <w:t>Stoffpreisgl</w:t>
    </w:r>
    <w:r w:rsidRPr="00D2292E">
      <w:rPr>
        <w:rFonts w:ascii="Arial" w:hAnsi="Arial" w:cs="Arial"/>
        <w:sz w:val="18"/>
        <w:szCs w:val="18"/>
      </w:rPr>
      <w:t>eitklausel</w:t>
    </w:r>
  </w:p>
  <w:p w14:paraId="0867EA13" w14:textId="77777777" w:rsidR="00634FDB" w:rsidRPr="00D2292E" w:rsidRDefault="00634FDB" w:rsidP="00D2292E">
    <w:pPr>
      <w:pStyle w:val="Kopfzeile"/>
      <w:tabs>
        <w:tab w:val="clear" w:pos="4536"/>
        <w:tab w:val="clear" w:pos="90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CABE" w14:textId="77777777" w:rsidR="00634FDB" w:rsidRPr="00D2292E" w:rsidRDefault="00634FDB" w:rsidP="006715E5">
    <w:pPr>
      <w:pStyle w:val="Kopfzeile"/>
      <w:tabs>
        <w:tab w:val="clear" w:pos="4536"/>
        <w:tab w:val="clear" w:pos="9072"/>
      </w:tabs>
      <w:spacing w:before="120"/>
      <w:jc w:val="right"/>
      <w:rPr>
        <w:rFonts w:ascii="Arial" w:hAnsi="Arial" w:cs="Arial"/>
        <w:b/>
        <w:sz w:val="18"/>
        <w:szCs w:val="18"/>
      </w:rPr>
    </w:pPr>
    <w:r w:rsidRPr="00D2292E">
      <w:rPr>
        <w:rFonts w:ascii="Arial" w:hAnsi="Arial" w:cs="Arial"/>
        <w:b/>
        <w:sz w:val="18"/>
        <w:szCs w:val="18"/>
      </w:rPr>
      <w:t>VV-Bau Anlage 6-1</w:t>
    </w:r>
    <w:r>
      <w:rPr>
        <w:rFonts w:ascii="Arial" w:hAnsi="Arial" w:cs="Arial"/>
        <w:b/>
        <w:sz w:val="18"/>
        <w:szCs w:val="18"/>
      </w:rPr>
      <w:t>5</w:t>
    </w:r>
    <w:r w:rsidRPr="00D2292E">
      <w:rPr>
        <w:rFonts w:ascii="Arial" w:hAnsi="Arial" w:cs="Arial"/>
        <w:b/>
        <w:sz w:val="18"/>
        <w:szCs w:val="18"/>
      </w:rPr>
      <w:t>0</w:t>
    </w:r>
  </w:p>
  <w:p w14:paraId="7A9097DD" w14:textId="77777777" w:rsidR="00634FDB" w:rsidRPr="006715E5" w:rsidRDefault="00634FDB" w:rsidP="006715E5">
    <w:pPr>
      <w:pStyle w:val="Kopfzeile"/>
      <w:tabs>
        <w:tab w:val="clear" w:pos="4536"/>
        <w:tab w:val="clear" w:pos="9072"/>
      </w:tabs>
      <w:snapToGrid w:val="0"/>
      <w:jc w:val="right"/>
      <w:rPr>
        <w:rFonts w:ascii="Arial" w:hAnsi="Arial" w:cs="Arial"/>
      </w:rPr>
    </w:pPr>
    <w:r>
      <w:rPr>
        <w:rFonts w:ascii="Arial" w:hAnsi="Arial" w:cs="Arial"/>
        <w:sz w:val="18"/>
        <w:szCs w:val="18"/>
      </w:rPr>
      <w:t>Stoffpreisgl</w:t>
    </w:r>
    <w:r w:rsidRPr="00D2292E">
      <w:rPr>
        <w:rFonts w:ascii="Arial" w:hAnsi="Arial" w:cs="Arial"/>
        <w:sz w:val="18"/>
        <w:szCs w:val="18"/>
      </w:rPr>
      <w:t>eitklausel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42F"/>
    <w:multiLevelType w:val="hybridMultilevel"/>
    <w:tmpl w:val="188ADF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395229B"/>
    <w:multiLevelType w:val="hybridMultilevel"/>
    <w:tmpl w:val="D55CA266"/>
    <w:lvl w:ilvl="0" w:tplc="D130966A">
      <w:start w:val="8"/>
      <w:numFmt w:val="bullet"/>
      <w:lvlText w:val=""/>
      <w:lvlJc w:val="left"/>
      <w:pPr>
        <w:tabs>
          <w:tab w:val="num" w:pos="705"/>
        </w:tabs>
        <w:ind w:left="705" w:hanging="420"/>
      </w:pPr>
      <w:rPr>
        <w:rFonts w:ascii="Symbol" w:eastAsia="Times New Roman" w:hAnsi="Symbol" w:cs="Times New Roman" w:hint="default"/>
      </w:rPr>
    </w:lvl>
    <w:lvl w:ilvl="1" w:tplc="04070003" w:tentative="1">
      <w:start w:val="1"/>
      <w:numFmt w:val="bullet"/>
      <w:lvlText w:val="o"/>
      <w:lvlJc w:val="left"/>
      <w:pPr>
        <w:tabs>
          <w:tab w:val="num" w:pos="1365"/>
        </w:tabs>
        <w:ind w:left="1365" w:hanging="360"/>
      </w:pPr>
      <w:rPr>
        <w:rFonts w:ascii="Courier New" w:hAnsi="Courier New" w:cs="Courier New" w:hint="default"/>
      </w:rPr>
    </w:lvl>
    <w:lvl w:ilvl="2" w:tplc="04070005" w:tentative="1">
      <w:start w:val="1"/>
      <w:numFmt w:val="bullet"/>
      <w:lvlText w:val=""/>
      <w:lvlJc w:val="left"/>
      <w:pPr>
        <w:tabs>
          <w:tab w:val="num" w:pos="2085"/>
        </w:tabs>
        <w:ind w:left="2085" w:hanging="360"/>
      </w:pPr>
      <w:rPr>
        <w:rFonts w:ascii="Wingdings" w:hAnsi="Wingdings" w:hint="default"/>
      </w:rPr>
    </w:lvl>
    <w:lvl w:ilvl="3" w:tplc="04070001" w:tentative="1">
      <w:start w:val="1"/>
      <w:numFmt w:val="bullet"/>
      <w:lvlText w:val=""/>
      <w:lvlJc w:val="left"/>
      <w:pPr>
        <w:tabs>
          <w:tab w:val="num" w:pos="2805"/>
        </w:tabs>
        <w:ind w:left="2805" w:hanging="360"/>
      </w:pPr>
      <w:rPr>
        <w:rFonts w:ascii="Symbol" w:hAnsi="Symbol" w:hint="default"/>
      </w:rPr>
    </w:lvl>
    <w:lvl w:ilvl="4" w:tplc="04070003" w:tentative="1">
      <w:start w:val="1"/>
      <w:numFmt w:val="bullet"/>
      <w:lvlText w:val="o"/>
      <w:lvlJc w:val="left"/>
      <w:pPr>
        <w:tabs>
          <w:tab w:val="num" w:pos="3525"/>
        </w:tabs>
        <w:ind w:left="3525" w:hanging="360"/>
      </w:pPr>
      <w:rPr>
        <w:rFonts w:ascii="Courier New" w:hAnsi="Courier New" w:cs="Courier New" w:hint="default"/>
      </w:rPr>
    </w:lvl>
    <w:lvl w:ilvl="5" w:tplc="04070005" w:tentative="1">
      <w:start w:val="1"/>
      <w:numFmt w:val="bullet"/>
      <w:lvlText w:val=""/>
      <w:lvlJc w:val="left"/>
      <w:pPr>
        <w:tabs>
          <w:tab w:val="num" w:pos="4245"/>
        </w:tabs>
        <w:ind w:left="4245" w:hanging="360"/>
      </w:pPr>
      <w:rPr>
        <w:rFonts w:ascii="Wingdings" w:hAnsi="Wingdings" w:hint="default"/>
      </w:rPr>
    </w:lvl>
    <w:lvl w:ilvl="6" w:tplc="04070001" w:tentative="1">
      <w:start w:val="1"/>
      <w:numFmt w:val="bullet"/>
      <w:lvlText w:val=""/>
      <w:lvlJc w:val="left"/>
      <w:pPr>
        <w:tabs>
          <w:tab w:val="num" w:pos="4965"/>
        </w:tabs>
        <w:ind w:left="4965" w:hanging="360"/>
      </w:pPr>
      <w:rPr>
        <w:rFonts w:ascii="Symbol" w:hAnsi="Symbol" w:hint="default"/>
      </w:rPr>
    </w:lvl>
    <w:lvl w:ilvl="7" w:tplc="04070003" w:tentative="1">
      <w:start w:val="1"/>
      <w:numFmt w:val="bullet"/>
      <w:lvlText w:val="o"/>
      <w:lvlJc w:val="left"/>
      <w:pPr>
        <w:tabs>
          <w:tab w:val="num" w:pos="5685"/>
        </w:tabs>
        <w:ind w:left="5685" w:hanging="360"/>
      </w:pPr>
      <w:rPr>
        <w:rFonts w:ascii="Courier New" w:hAnsi="Courier New" w:cs="Courier New" w:hint="default"/>
      </w:rPr>
    </w:lvl>
    <w:lvl w:ilvl="8" w:tplc="04070005" w:tentative="1">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44756D5C"/>
    <w:multiLevelType w:val="hybridMultilevel"/>
    <w:tmpl w:val="8000E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986DA7"/>
    <w:multiLevelType w:val="hybridMultilevel"/>
    <w:tmpl w:val="AB046902"/>
    <w:lvl w:ilvl="0" w:tplc="F3E40D46">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78424DCA"/>
    <w:multiLevelType w:val="multilevel"/>
    <w:tmpl w:val="28989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A525C1D"/>
    <w:multiLevelType w:val="multilevel"/>
    <w:tmpl w:val="D14848C4"/>
    <w:lvl w:ilvl="0">
      <w:start w:val="1"/>
      <w:numFmt w:val="decimal"/>
      <w:pStyle w:val="berschrift"/>
      <w:lvlText w:val="%1."/>
      <w:lvlJc w:val="left"/>
      <w:pPr>
        <w:tabs>
          <w:tab w:val="num" w:pos="425"/>
        </w:tabs>
        <w:ind w:left="425" w:hanging="425"/>
      </w:pPr>
      <w:rPr>
        <w:rFonts w:ascii="Arial" w:hAnsi="Arial" w:cs="Times New Roman" w:hint="default"/>
        <w:b/>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lock"/>
      <w:lvlText w:val="%2"/>
      <w:lvlJc w:val="left"/>
      <w:pPr>
        <w:tabs>
          <w:tab w:val="num" w:pos="425"/>
        </w:tabs>
        <w:ind w:left="425" w:hanging="425"/>
      </w:pPr>
      <w:rPr>
        <w:rFonts w:ascii="Arial" w:eastAsia="Times New Roman" w:hAnsi="Arial" w:cs="Times New Roman"/>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lvlText w:val="–"/>
      <w:lvlJc w:val="left"/>
      <w:pPr>
        <w:tabs>
          <w:tab w:val="num" w:pos="709"/>
        </w:tabs>
        <w:ind w:left="709" w:hanging="284"/>
      </w:pPr>
      <w:rPr>
        <w:rFonts w:ascii="Arial" w:hAnsi="Arial" w:hint="default"/>
        <w:b w:val="0"/>
        <w:i w:val="0"/>
        <w:caps w:val="0"/>
        <w:strike w:val="0"/>
        <w:dstrike w:val="0"/>
        <w:vanish w:val="0"/>
        <w:color w:val="000000"/>
        <w:ker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berschrift2"/>
      <w:lvlText w:val="%1.%4"/>
      <w:lvlJc w:val="left"/>
      <w:pPr>
        <w:tabs>
          <w:tab w:val="num" w:pos="851"/>
        </w:tabs>
        <w:ind w:left="851" w:hanging="567"/>
      </w:pPr>
      <w:rPr>
        <w:rFonts w:ascii="Arial" w:hAnsi="Arial" w:hint="default"/>
        <w:b w:val="0"/>
        <w:i w:val="0"/>
        <w:caps w:val="0"/>
        <w:strike w:val="0"/>
        <w:dstrike w:val="0"/>
        <w:vanish w:val="0"/>
        <w:color w:val="000000"/>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uchstabe1"/>
      <w:lvlText w:val="%5)"/>
      <w:lvlJc w:val="left"/>
      <w:pPr>
        <w:tabs>
          <w:tab w:val="num" w:pos="1134"/>
        </w:tabs>
        <w:ind w:left="1134" w:hanging="283"/>
      </w:pPr>
      <w:rPr>
        <w:rFonts w:ascii="Arial" w:hAnsi="Arial" w:hint="default"/>
        <w:b w:val="0"/>
        <w:i w:val="0"/>
        <w:caps w:val="0"/>
        <w:strike w:val="0"/>
        <w:dstrike w:val="0"/>
        <w:vanish w:val="0"/>
        <w:color w:val="000000"/>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284"/>
      </w:pPr>
      <w:rPr>
        <w:rFonts w:ascii="Arial" w:hAnsi="Arial" w:hint="default"/>
        <w:b w:val="0"/>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701"/>
        </w:tabs>
        <w:ind w:left="1701" w:hanging="283"/>
      </w:pPr>
      <w:rPr>
        <w:rFonts w:ascii="Symbol" w:hAnsi="Symbol" w:hint="default"/>
        <w:b w:val="0"/>
        <w:i w:val="0"/>
        <w:sz w:val="22"/>
        <w:szCs w:val="22"/>
      </w:rPr>
    </w:lvl>
    <w:lvl w:ilvl="7">
      <w:start w:val="1"/>
      <w:numFmt w:val="none"/>
      <w:suff w:val="nothing"/>
      <w:lvlText w:val=""/>
      <w:lvlJc w:val="left"/>
      <w:pPr>
        <w:ind w:left="1134" w:firstLine="0"/>
      </w:pPr>
      <w:rPr>
        <w:rFonts w:ascii="Arial" w:hAnsi="Arial" w:hint="default"/>
        <w:b w:val="0"/>
        <w:i w:val="0"/>
        <w:color w:val="auto"/>
        <w:sz w:val="24"/>
        <w:szCs w:val="24"/>
        <w:u w:val="none"/>
      </w:rPr>
    </w:lvl>
    <w:lvl w:ilvl="8">
      <w:start w:val="1"/>
      <w:numFmt w:val="none"/>
      <w:suff w:val="nothing"/>
      <w:lvlText w:val=""/>
      <w:lvlJc w:val="left"/>
      <w:pPr>
        <w:ind w:left="0" w:firstLine="1134"/>
      </w:pPr>
      <w:rPr>
        <w:rFonts w:ascii="Arial" w:hAnsi="Arial" w:hint="default"/>
        <w:b/>
        <w:i w:val="0"/>
        <w:color w:val="auto"/>
        <w:sz w:val="22"/>
        <w:szCs w:val="22"/>
        <w:u w:val="none"/>
      </w:rPr>
    </w:lvl>
  </w:abstractNum>
  <w:num w:numId="1">
    <w:abstractNumId w:val="5"/>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2E"/>
    <w:rsid w:val="00020BC0"/>
    <w:rsid w:val="00045985"/>
    <w:rsid w:val="00072A74"/>
    <w:rsid w:val="0008795D"/>
    <w:rsid w:val="000B38A6"/>
    <w:rsid w:val="001737F7"/>
    <w:rsid w:val="0017577A"/>
    <w:rsid w:val="001B5143"/>
    <w:rsid w:val="001D455B"/>
    <w:rsid w:val="001D5AD5"/>
    <w:rsid w:val="001E3377"/>
    <w:rsid w:val="001E5621"/>
    <w:rsid w:val="00211B19"/>
    <w:rsid w:val="0025781A"/>
    <w:rsid w:val="00282821"/>
    <w:rsid w:val="002943C3"/>
    <w:rsid w:val="002C23C5"/>
    <w:rsid w:val="002D5F75"/>
    <w:rsid w:val="00362114"/>
    <w:rsid w:val="00364B73"/>
    <w:rsid w:val="0036588E"/>
    <w:rsid w:val="003715B5"/>
    <w:rsid w:val="00391B5C"/>
    <w:rsid w:val="003B01F4"/>
    <w:rsid w:val="003C0AB8"/>
    <w:rsid w:val="00423B30"/>
    <w:rsid w:val="004C244D"/>
    <w:rsid w:val="004D62F8"/>
    <w:rsid w:val="004E38BD"/>
    <w:rsid w:val="00507716"/>
    <w:rsid w:val="0052042D"/>
    <w:rsid w:val="0052333A"/>
    <w:rsid w:val="00535A7E"/>
    <w:rsid w:val="00544389"/>
    <w:rsid w:val="00580363"/>
    <w:rsid w:val="005D02A2"/>
    <w:rsid w:val="005D68D6"/>
    <w:rsid w:val="005F58B0"/>
    <w:rsid w:val="00613431"/>
    <w:rsid w:val="00634FDB"/>
    <w:rsid w:val="006715E5"/>
    <w:rsid w:val="00674B36"/>
    <w:rsid w:val="00686EB9"/>
    <w:rsid w:val="007214C7"/>
    <w:rsid w:val="00737145"/>
    <w:rsid w:val="00761D8E"/>
    <w:rsid w:val="007B47DA"/>
    <w:rsid w:val="007C4264"/>
    <w:rsid w:val="007C592A"/>
    <w:rsid w:val="007F17B9"/>
    <w:rsid w:val="00825BBF"/>
    <w:rsid w:val="00841B5C"/>
    <w:rsid w:val="00875E47"/>
    <w:rsid w:val="00911530"/>
    <w:rsid w:val="00952EB2"/>
    <w:rsid w:val="009776AB"/>
    <w:rsid w:val="00994BD1"/>
    <w:rsid w:val="009B09DB"/>
    <w:rsid w:val="00A46D63"/>
    <w:rsid w:val="00A81B63"/>
    <w:rsid w:val="00A82440"/>
    <w:rsid w:val="00A859E7"/>
    <w:rsid w:val="00A93682"/>
    <w:rsid w:val="00A967AB"/>
    <w:rsid w:val="00AA09F3"/>
    <w:rsid w:val="00AA66AE"/>
    <w:rsid w:val="00AC26A5"/>
    <w:rsid w:val="00AE2224"/>
    <w:rsid w:val="00AE265D"/>
    <w:rsid w:val="00AE4C15"/>
    <w:rsid w:val="00AE5399"/>
    <w:rsid w:val="00B05415"/>
    <w:rsid w:val="00B92A03"/>
    <w:rsid w:val="00C16D7D"/>
    <w:rsid w:val="00C53647"/>
    <w:rsid w:val="00C74023"/>
    <w:rsid w:val="00CB4F92"/>
    <w:rsid w:val="00CE13F3"/>
    <w:rsid w:val="00CE2517"/>
    <w:rsid w:val="00CE5E71"/>
    <w:rsid w:val="00D14EFC"/>
    <w:rsid w:val="00D2292E"/>
    <w:rsid w:val="00D755CD"/>
    <w:rsid w:val="00DA4094"/>
    <w:rsid w:val="00E32168"/>
    <w:rsid w:val="00E36527"/>
    <w:rsid w:val="00E53FD3"/>
    <w:rsid w:val="00E64C39"/>
    <w:rsid w:val="00E96A64"/>
    <w:rsid w:val="00EB4F9C"/>
    <w:rsid w:val="00EB7B74"/>
    <w:rsid w:val="00ED6437"/>
    <w:rsid w:val="00F27392"/>
    <w:rsid w:val="00F31623"/>
    <w:rsid w:val="00F33B3E"/>
    <w:rsid w:val="00F55C6C"/>
    <w:rsid w:val="00F70EA5"/>
    <w:rsid w:val="00F730CC"/>
    <w:rsid w:val="00F73CAA"/>
    <w:rsid w:val="00F937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3068B"/>
  <w15:docId w15:val="{4AACDCA0-4864-4D41-B32F-25C8F9D6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2">
    <w:name w:val="heading 2"/>
    <w:basedOn w:val="Standard"/>
    <w:next w:val="Standard"/>
    <w:qFormat/>
    <w:pPr>
      <w:keepNext/>
      <w:numPr>
        <w:ilvl w:val="3"/>
        <w:numId w:val="1"/>
      </w:numPr>
      <w:overflowPunct/>
      <w:autoSpaceDE/>
      <w:autoSpaceDN/>
      <w:adjustRightInd/>
      <w:spacing w:before="240" w:after="60"/>
      <w:textAlignment w:val="auto"/>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style>
  <w:style w:type="paragraph" w:customStyle="1" w:styleId="berschrift">
    <w:name w:val="Überschrift"/>
    <w:basedOn w:val="Standard"/>
    <w:next w:val="Standard"/>
    <w:pPr>
      <w:numPr>
        <w:numId w:val="1"/>
      </w:numPr>
      <w:overflowPunct/>
      <w:autoSpaceDE/>
      <w:autoSpaceDN/>
      <w:adjustRightInd/>
      <w:spacing w:before="120" w:after="60"/>
      <w:jc w:val="both"/>
      <w:textAlignment w:val="auto"/>
    </w:pPr>
    <w:rPr>
      <w:rFonts w:ascii="Arial" w:hAnsi="Arial"/>
      <w:b/>
      <w:sz w:val="18"/>
      <w:szCs w:val="17"/>
    </w:rPr>
  </w:style>
  <w:style w:type="paragraph" w:customStyle="1" w:styleId="Block">
    <w:name w:val="Block"/>
    <w:basedOn w:val="Standard"/>
    <w:pPr>
      <w:numPr>
        <w:ilvl w:val="1"/>
        <w:numId w:val="1"/>
      </w:numPr>
      <w:overflowPunct/>
      <w:autoSpaceDE/>
      <w:autoSpaceDN/>
      <w:adjustRightInd/>
      <w:spacing w:after="60"/>
      <w:jc w:val="both"/>
      <w:textAlignment w:val="auto"/>
    </w:pPr>
    <w:rPr>
      <w:rFonts w:ascii="Arial" w:hAnsi="Arial"/>
      <w:sz w:val="18"/>
      <w:szCs w:val="17"/>
    </w:rPr>
  </w:style>
  <w:style w:type="paragraph" w:customStyle="1" w:styleId="Buchstabe1">
    <w:name w:val="Buchstabe1"/>
    <w:basedOn w:val="Standard"/>
    <w:pPr>
      <w:numPr>
        <w:ilvl w:val="4"/>
        <w:numId w:val="1"/>
      </w:numPr>
      <w:overflowPunct/>
      <w:autoSpaceDE/>
      <w:autoSpaceDN/>
      <w:adjustRightInd/>
      <w:textAlignment w:val="auto"/>
    </w:pPr>
  </w:style>
  <w:style w:type="paragraph" w:styleId="Blocktext">
    <w:name w:val="Block Text"/>
    <w:basedOn w:val="Standard"/>
    <w:link w:val="BlocktextZchn"/>
    <w:pPr>
      <w:overflowPunct/>
      <w:autoSpaceDE/>
      <w:autoSpaceDN/>
      <w:adjustRightInd/>
      <w:spacing w:after="60"/>
      <w:ind w:left="425"/>
      <w:jc w:val="both"/>
      <w:textAlignment w:val="auto"/>
    </w:pPr>
    <w:rPr>
      <w:rFonts w:ascii="Arial" w:hAnsi="Arial" w:cs="Arial"/>
      <w:sz w:val="18"/>
      <w:szCs w:val="18"/>
    </w:rPr>
  </w:style>
  <w:style w:type="paragraph" w:styleId="Titel">
    <w:name w:val="Title"/>
    <w:basedOn w:val="Standard"/>
    <w:qFormat/>
    <w:pPr>
      <w:overflowPunct/>
      <w:autoSpaceDE/>
      <w:autoSpaceDN/>
      <w:adjustRightInd/>
      <w:spacing w:after="120"/>
      <w:jc w:val="center"/>
      <w:textAlignment w:val="auto"/>
    </w:pPr>
    <w:rPr>
      <w:rFonts w:ascii="Arial" w:hAnsi="Arial"/>
      <w:b/>
      <w:sz w:val="28"/>
    </w:rPr>
  </w:style>
  <w:style w:type="paragraph" w:styleId="Textkrper-Zeileneinzug">
    <w:name w:val="Body Text Indent"/>
    <w:basedOn w:val="Standard"/>
    <w:pPr>
      <w:spacing w:after="120"/>
      <w:ind w:left="426" w:hanging="426"/>
      <w:jc w:val="both"/>
    </w:pPr>
  </w:style>
  <w:style w:type="paragraph" w:styleId="Sprechblasentext">
    <w:name w:val="Balloon Text"/>
    <w:basedOn w:val="Standard"/>
    <w:semiHidden/>
    <w:rsid w:val="001D5AD5"/>
    <w:pPr>
      <w:overflowPunct/>
      <w:autoSpaceDE/>
      <w:autoSpaceDN/>
      <w:adjustRightInd/>
      <w:textAlignment w:val="auto"/>
    </w:pPr>
    <w:rPr>
      <w:rFonts w:ascii="Tahoma" w:hAnsi="Tahoma" w:cs="Tahoma"/>
      <w:sz w:val="16"/>
      <w:szCs w:val="16"/>
    </w:rPr>
  </w:style>
  <w:style w:type="character" w:styleId="Hyperlink">
    <w:name w:val="Hyperlink"/>
    <w:rsid w:val="001D5AD5"/>
    <w:rPr>
      <w:color w:val="0000FF"/>
      <w:u w:val="single"/>
    </w:rPr>
  </w:style>
  <w:style w:type="table" w:styleId="Tabellenraster">
    <w:name w:val="Table Grid"/>
    <w:basedOn w:val="NormaleTabelle"/>
    <w:rsid w:val="00CE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D2292E"/>
    <w:rPr>
      <w:lang w:eastAsia="de-DE"/>
    </w:rPr>
  </w:style>
  <w:style w:type="character" w:styleId="Kommentarzeichen">
    <w:name w:val="annotation reference"/>
    <w:basedOn w:val="Absatz-Standardschriftart"/>
    <w:rsid w:val="001E5621"/>
    <w:rPr>
      <w:sz w:val="16"/>
      <w:szCs w:val="16"/>
    </w:rPr>
  </w:style>
  <w:style w:type="paragraph" w:styleId="Kommentartext">
    <w:name w:val="annotation text"/>
    <w:basedOn w:val="Standard"/>
    <w:link w:val="KommentartextZchn"/>
    <w:rsid w:val="001E5621"/>
  </w:style>
  <w:style w:type="character" w:customStyle="1" w:styleId="KommentartextZchn">
    <w:name w:val="Kommentartext Zchn"/>
    <w:basedOn w:val="Absatz-Standardschriftart"/>
    <w:link w:val="Kommentartext"/>
    <w:rsid w:val="001E5621"/>
    <w:rPr>
      <w:lang w:eastAsia="de-DE"/>
    </w:rPr>
  </w:style>
  <w:style w:type="paragraph" w:styleId="Kommentarthema">
    <w:name w:val="annotation subject"/>
    <w:basedOn w:val="Kommentartext"/>
    <w:next w:val="Kommentartext"/>
    <w:link w:val="KommentarthemaZchn"/>
    <w:rsid w:val="001E5621"/>
    <w:rPr>
      <w:b/>
      <w:bCs/>
    </w:rPr>
  </w:style>
  <w:style w:type="character" w:customStyle="1" w:styleId="KommentarthemaZchn">
    <w:name w:val="Kommentarthema Zchn"/>
    <w:basedOn w:val="KommentartextZchn"/>
    <w:link w:val="Kommentarthema"/>
    <w:rsid w:val="001E5621"/>
    <w:rPr>
      <w:b/>
      <w:bCs/>
      <w:lang w:eastAsia="de-DE"/>
    </w:rPr>
  </w:style>
  <w:style w:type="paragraph" w:styleId="Textkrper">
    <w:name w:val="Body Text"/>
    <w:basedOn w:val="Standard"/>
    <w:link w:val="TextkrperZchn"/>
    <w:rsid w:val="00F93767"/>
    <w:pPr>
      <w:overflowPunct/>
      <w:autoSpaceDE/>
      <w:autoSpaceDN/>
      <w:adjustRightInd/>
      <w:spacing w:after="120"/>
      <w:textAlignment w:val="auto"/>
    </w:pPr>
    <w:rPr>
      <w:rFonts w:ascii="Arial" w:hAnsi="Arial"/>
      <w:sz w:val="24"/>
    </w:rPr>
  </w:style>
  <w:style w:type="character" w:customStyle="1" w:styleId="TextkrperZchn">
    <w:name w:val="Textkörper Zchn"/>
    <w:basedOn w:val="Absatz-Standardschriftart"/>
    <w:link w:val="Textkrper"/>
    <w:rsid w:val="00F93767"/>
    <w:rPr>
      <w:rFonts w:ascii="Arial" w:hAnsi="Arial"/>
      <w:sz w:val="24"/>
      <w:lang w:eastAsia="de-DE"/>
    </w:rPr>
  </w:style>
  <w:style w:type="character" w:customStyle="1" w:styleId="BlocktextZchn">
    <w:name w:val="Blocktext Zchn"/>
    <w:link w:val="Blocktext"/>
    <w:rsid w:val="00F31623"/>
    <w:rPr>
      <w:rFonts w:ascii="Arial" w:hAnsi="Arial" w:cs="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b-bund.de/Inhalt/Vergabe/VH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seBet\AppData\Local\Temp\Rar$DIa0.918\VV-Bau%20II-Anlage%206-029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145644B62EBA4FB0B04C8A807C9CAC" ma:contentTypeVersion="1" ma:contentTypeDescription="Ein neues Dokument erstellen." ma:contentTypeScope="" ma:versionID="93e47276b4960e2b25e7e80b9a5f376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A2193-3739-429D-BA10-B28548501C7D}">
  <ds:schemaRefs>
    <ds:schemaRef ds:uri="http://schemas.microsoft.com/sharepoint/v3/contenttype/forms"/>
  </ds:schemaRefs>
</ds:datastoreItem>
</file>

<file path=customXml/itemProps2.xml><?xml version="1.0" encoding="utf-8"?>
<ds:datastoreItem xmlns:ds="http://schemas.openxmlformats.org/officeDocument/2006/customXml" ds:itemID="{3572BAD6-E819-4A9F-AABD-D09EB9AC0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9A5AD-13E1-45E1-AEF1-041A8AC8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VV-Bau II-Anlage 6-0290.dot</Template>
  <TotalTime>0</TotalTime>
  <Pages>2</Pages>
  <Words>1382</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Stoffpreisgleitklausel</vt:lpstr>
    </vt:vector>
  </TitlesOfParts>
  <Company>Behörde für Stadtentwicklung und Umwelt</Company>
  <LinksUpToDate>false</LinksUpToDate>
  <CharactersWithSpaces>10072</CharactersWithSpaces>
  <SharedDoc>false</SharedDoc>
  <HLinks>
    <vt:vector size="12" baseType="variant">
      <vt:variant>
        <vt:i4>8323106</vt:i4>
      </vt:variant>
      <vt:variant>
        <vt:i4>438</vt:i4>
      </vt:variant>
      <vt:variant>
        <vt:i4>0</vt:i4>
      </vt:variant>
      <vt:variant>
        <vt:i4>5</vt:i4>
      </vt:variant>
      <vt:variant>
        <vt:lpwstr>http://www.destatis.de/</vt:lpwstr>
      </vt:variant>
      <vt:variant>
        <vt:lpwstr/>
      </vt:variant>
      <vt:variant>
        <vt:i4>8323106</vt:i4>
      </vt:variant>
      <vt:variant>
        <vt:i4>435</vt:i4>
      </vt:variant>
      <vt:variant>
        <vt:i4>0</vt:i4>
      </vt:variant>
      <vt:variant>
        <vt:i4>5</vt:i4>
      </vt:variant>
      <vt:variant>
        <vt:lpwstr>http://www.destatis.de/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Stoffpreisgleitklausel</dc:title>
  <dc:subject>VV-Bau, Teil II, Anlage 43</dc:subject>
  <dc:creator>MaaseBet</dc:creator>
  <dc:description>Version 2.0</dc:description>
  <cp:lastModifiedBy>Sinah Marx</cp:lastModifiedBy>
  <cp:revision>2</cp:revision>
  <cp:lastPrinted>2018-04-03T10:46:00Z</cp:lastPrinted>
  <dcterms:created xsi:type="dcterms:W3CDTF">2021-07-09T12:10:00Z</dcterms:created>
  <dcterms:modified xsi:type="dcterms:W3CDTF">2021-07-09T12:10:00Z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0x01010003145644B62EBA4FB0B04C8A807C9CAC</vt:lpwstr>
  </property>
</Properties>
</file>